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5A343" w14:textId="7C2D674E" w:rsidR="0070557B" w:rsidRPr="00E16C57" w:rsidRDefault="0070557B" w:rsidP="0070557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581997">
        <w:rPr>
          <w:sz w:val="24"/>
          <w:szCs w:val="24"/>
          <w:lang w:val="en-US"/>
        </w:rPr>
        <w:t xml:space="preserve">3GPP TSG-RAN WG2 Meeting </w:t>
      </w:r>
      <w:r w:rsidRPr="00F85B9A">
        <w:rPr>
          <w:sz w:val="24"/>
          <w:szCs w:val="24"/>
          <w:lang w:val="en-US"/>
        </w:rPr>
        <w:t>#12</w:t>
      </w:r>
      <w:r>
        <w:rPr>
          <w:sz w:val="24"/>
          <w:szCs w:val="24"/>
          <w:lang w:val="en-US"/>
        </w:rPr>
        <w:t xml:space="preserve">4                                                                         </w:t>
      </w:r>
      <w:r w:rsidR="003A13A1" w:rsidRPr="003A13A1">
        <w:rPr>
          <w:sz w:val="24"/>
          <w:szCs w:val="24"/>
          <w:lang w:val="en-US"/>
        </w:rPr>
        <w:t>R2-2313341</w:t>
      </w:r>
    </w:p>
    <w:p w14:paraId="1B92F9DD" w14:textId="2C850514" w:rsidR="009232B9" w:rsidRPr="003B5C98" w:rsidRDefault="0070557B" w:rsidP="0070557B">
      <w:pPr>
        <w:pStyle w:val="af"/>
        <w:tabs>
          <w:tab w:val="right" w:pos="9639"/>
        </w:tabs>
        <w:rPr>
          <w:bCs/>
          <w:sz w:val="24"/>
        </w:rPr>
      </w:pPr>
      <w:r w:rsidRPr="00FE1636">
        <w:rPr>
          <w:sz w:val="24"/>
          <w:szCs w:val="24"/>
          <w:lang w:val="en-US"/>
        </w:rPr>
        <w:t>Chicago, USA, Nov. 13</w:t>
      </w:r>
      <w:r w:rsidRPr="00FE1636">
        <w:rPr>
          <w:sz w:val="24"/>
          <w:szCs w:val="24"/>
          <w:vertAlign w:val="superscript"/>
          <w:lang w:val="en-US"/>
        </w:rPr>
        <w:t>th</w:t>
      </w:r>
      <w:r w:rsidRPr="00FE1636">
        <w:rPr>
          <w:sz w:val="24"/>
          <w:szCs w:val="24"/>
          <w:lang w:val="en-US"/>
        </w:rPr>
        <w:t xml:space="preserve"> – 17</w:t>
      </w:r>
      <w:r w:rsidRPr="00FE1636">
        <w:rPr>
          <w:sz w:val="24"/>
          <w:szCs w:val="24"/>
          <w:vertAlign w:val="superscript"/>
          <w:lang w:val="en-US"/>
        </w:rPr>
        <w:t>th</w:t>
      </w:r>
      <w:r w:rsidRPr="00FE1636">
        <w:rPr>
          <w:sz w:val="24"/>
          <w:szCs w:val="24"/>
          <w:lang w:val="en-US"/>
        </w:rPr>
        <w:t>,</w:t>
      </w:r>
      <w:r w:rsidRPr="00F85B9A">
        <w:rPr>
          <w:sz w:val="24"/>
          <w:szCs w:val="24"/>
          <w:lang w:val="en-US"/>
        </w:rPr>
        <w:t xml:space="preserve"> 2023</w:t>
      </w:r>
      <w:r w:rsidR="009232B9" w:rsidRPr="003B5C98">
        <w:rPr>
          <w:sz w:val="24"/>
          <w:szCs w:val="24"/>
          <w:lang w:val="da-DK" w:eastAsia="zh-CN"/>
        </w:rPr>
        <w:tab/>
      </w:r>
    </w:p>
    <w:p w14:paraId="70884AF4" w14:textId="6E539492" w:rsidR="00A17630" w:rsidRPr="003B5C98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A323C" w:rsidRPr="003B5C98">
        <w:rPr>
          <w:rFonts w:cs="Arial"/>
          <w:b/>
          <w:bCs/>
          <w:sz w:val="24"/>
          <w:lang w:val="da-DK"/>
        </w:rPr>
        <w:t>7</w:t>
      </w:r>
      <w:r w:rsidR="006B4FD0" w:rsidRPr="003B5C98">
        <w:rPr>
          <w:rFonts w:cs="Arial"/>
          <w:b/>
          <w:bCs/>
          <w:sz w:val="24"/>
          <w:lang w:val="da-DK"/>
        </w:rPr>
        <w:t>.</w:t>
      </w:r>
      <w:r w:rsidR="009C18CE" w:rsidRPr="003B5C98">
        <w:rPr>
          <w:rFonts w:cs="Arial"/>
          <w:b/>
          <w:bCs/>
          <w:sz w:val="24"/>
          <w:lang w:val="da-DK"/>
        </w:rPr>
        <w:t>8.2</w:t>
      </w:r>
      <w:bookmarkStart w:id="0" w:name="_GoBack"/>
      <w:bookmarkEnd w:id="0"/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21A1CE96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3B3856">
        <w:rPr>
          <w:rFonts w:ascii="Arial" w:hAnsi="Arial" w:cs="Arial"/>
          <w:b/>
          <w:bCs/>
          <w:sz w:val="24"/>
          <w:lang w:val="en-US"/>
        </w:rPr>
        <w:t>Further discussion on measurement r</w:t>
      </w:r>
      <w:r w:rsidR="00511B1F" w:rsidRPr="00511B1F">
        <w:rPr>
          <w:rFonts w:ascii="Arial" w:hAnsi="Arial" w:cs="Arial"/>
          <w:b/>
          <w:bCs/>
          <w:sz w:val="24"/>
          <w:lang w:val="en-US"/>
        </w:rPr>
        <w:t>eporting for NR UAV</w:t>
      </w:r>
    </w:p>
    <w:p w14:paraId="2F8F4082" w14:textId="25620CC9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3E8D55A3" w14:textId="53C3CBEA" w:rsidR="006014D6" w:rsidRPr="003F29EA" w:rsidRDefault="00BC4EC8" w:rsidP="0090714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BC4EC8">
        <w:rPr>
          <w:rFonts w:ascii="Times New Roman" w:hAnsi="Times New Roman"/>
          <w:sz w:val="20"/>
          <w:lang w:eastAsia="zh-CN"/>
        </w:rPr>
        <w:t>Measurement reporting enhancements are one of the objectives in Rel-18 UAV WID[1]. RAN2 had made the following agreements on measurement reports</w:t>
      </w:r>
      <w:r w:rsidR="00666BC1">
        <w:rPr>
          <w:rFonts w:ascii="Times New Roman" w:hAnsi="Times New Roman"/>
          <w:sz w:val="20"/>
          <w:lang w:eastAsia="zh-CN"/>
        </w:rPr>
        <w:t xml:space="preserve"> </w:t>
      </w:r>
      <w:r w:rsidRPr="00BC4EC8">
        <w:rPr>
          <w:rFonts w:ascii="Times New Roman" w:hAnsi="Times New Roman"/>
          <w:sz w:val="20"/>
          <w:lang w:eastAsia="zh-CN"/>
        </w:rPr>
        <w:t>[2]:</w:t>
      </w:r>
    </w:p>
    <w:p w14:paraId="4731ABAB" w14:textId="529F7B37" w:rsidR="008613FF" w:rsidRPr="00455E4F" w:rsidRDefault="006014D6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455E4F">
        <w:rPr>
          <w:b/>
          <w:bCs/>
          <w:sz w:val="20"/>
          <w:szCs w:val="20"/>
        </w:rPr>
        <w:t>Agreements from RAN2#123</w:t>
      </w:r>
      <w:r w:rsidR="008613FF" w:rsidRPr="00455E4F">
        <w:rPr>
          <w:b/>
          <w:bCs/>
          <w:sz w:val="20"/>
          <w:szCs w:val="20"/>
        </w:rPr>
        <w:t>bis</w:t>
      </w:r>
    </w:p>
    <w:p w14:paraId="54C60E24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en-US"/>
        </w:rPr>
      </w:pPr>
      <w:r w:rsidRPr="00455E4F">
        <w:rPr>
          <w:sz w:val="20"/>
          <w:szCs w:val="20"/>
          <w:lang w:val="en-US"/>
        </w:rPr>
        <w:t>-</w:t>
      </w:r>
      <w:r w:rsidRPr="00455E4F">
        <w:rPr>
          <w:sz w:val="20"/>
          <w:szCs w:val="20"/>
          <w:lang w:val="en-US"/>
        </w:rPr>
        <w:tab/>
        <w:t xml:space="preserve">The altitude from -420m to 1k above mt. Everest (i.e. ~10km) with 2m granularity.  </w:t>
      </w:r>
    </w:p>
    <w:p w14:paraId="4D196600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en-US"/>
        </w:rPr>
      </w:pPr>
      <w:r w:rsidRPr="00455E4F">
        <w:rPr>
          <w:sz w:val="20"/>
          <w:szCs w:val="20"/>
        </w:rPr>
        <w:t>-</w:t>
      </w:r>
      <w:r w:rsidRPr="00455E4F">
        <w:rPr>
          <w:sz w:val="20"/>
          <w:szCs w:val="20"/>
        </w:rPr>
        <w:tab/>
        <w:t>The maximum number of height ranges can be 8</w:t>
      </w:r>
    </w:p>
    <w:p w14:paraId="626AEF8E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en-US"/>
        </w:rPr>
      </w:pPr>
      <w:r w:rsidRPr="00455E4F">
        <w:rPr>
          <w:sz w:val="20"/>
          <w:szCs w:val="20"/>
          <w:lang w:val="en-US"/>
        </w:rPr>
        <w:t>-</w:t>
      </w:r>
      <w:r w:rsidRPr="00455E4F">
        <w:rPr>
          <w:sz w:val="20"/>
          <w:szCs w:val="20"/>
          <w:lang w:val="en-US"/>
        </w:rPr>
        <w:tab/>
        <w:t>Hysteresis is 1m granularity.  Value range for h1-Hysteresis, h2-Hystereris, heightHyst is 1m to 64m.</w:t>
      </w:r>
    </w:p>
    <w:p w14:paraId="3B750775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55E4F">
        <w:rPr>
          <w:sz w:val="20"/>
          <w:szCs w:val="20"/>
          <w:lang w:val="en-US"/>
        </w:rPr>
        <w:t>-</w:t>
      </w:r>
      <w:r w:rsidRPr="00455E4F">
        <w:rPr>
          <w:sz w:val="20"/>
          <w:szCs w:val="20"/>
          <w:lang w:val="en-US"/>
        </w:rPr>
        <w:tab/>
        <w:t>It is up to n</w:t>
      </w:r>
      <w:r w:rsidRPr="00455E4F">
        <w:rPr>
          <w:sz w:val="20"/>
          <w:szCs w:val="20"/>
        </w:rPr>
        <w:t xml:space="preserve">etwork implementation how to configure height range and hysteresis  </w:t>
      </w:r>
    </w:p>
    <w:p w14:paraId="13ABEA6C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55E4F">
        <w:rPr>
          <w:sz w:val="20"/>
          <w:szCs w:val="20"/>
        </w:rPr>
        <w:t>-</w:t>
      </w:r>
      <w:r w:rsidRPr="00455E4F">
        <w:rPr>
          <w:sz w:val="20"/>
          <w:szCs w:val="20"/>
        </w:rPr>
        <w:tab/>
        <w:t>The height range configurations in ssb-toMeasure and AxHy are independent.</w:t>
      </w:r>
    </w:p>
    <w:p w14:paraId="454CFFAF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55E4F">
        <w:rPr>
          <w:sz w:val="20"/>
          <w:szCs w:val="20"/>
        </w:rPr>
        <w:t>-</w:t>
      </w:r>
      <w:r w:rsidRPr="00455E4F">
        <w:rPr>
          <w:sz w:val="20"/>
          <w:szCs w:val="20"/>
        </w:rPr>
        <w:tab/>
      </w:r>
      <w:r w:rsidRPr="00455E4F">
        <w:rPr>
          <w:sz w:val="20"/>
          <w:szCs w:val="20"/>
          <w:highlight w:val="yellow"/>
        </w:rPr>
        <w:t>FFS UE behavior</w:t>
      </w:r>
      <w:r w:rsidRPr="00455E4F">
        <w:rPr>
          <w:sz w:val="20"/>
          <w:szCs w:val="20"/>
        </w:rPr>
        <w:t xml:space="preserve"> with respect to cell list is already clear when it switches to a new height range </w:t>
      </w:r>
      <w:r w:rsidRPr="00455E4F">
        <w:rPr>
          <w:sz w:val="20"/>
          <w:szCs w:val="20"/>
          <w:highlight w:val="yellow"/>
        </w:rPr>
        <w:t>in either SSB to Measure or in eventAxHy</w:t>
      </w:r>
      <w:r w:rsidRPr="00455E4F">
        <w:rPr>
          <w:sz w:val="20"/>
          <w:szCs w:val="20"/>
        </w:rPr>
        <w:t xml:space="preserve"> (in rapporteur CR email discussion)</w:t>
      </w:r>
    </w:p>
    <w:p w14:paraId="35F9BD3C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55E4F">
        <w:rPr>
          <w:sz w:val="20"/>
          <w:szCs w:val="20"/>
        </w:rPr>
        <w:t>-</w:t>
      </w:r>
      <w:r w:rsidRPr="00455E4F">
        <w:rPr>
          <w:sz w:val="20"/>
          <w:szCs w:val="20"/>
        </w:rPr>
        <w:tab/>
        <w:t>Regardless of whether the measurement object is associated with report configuration including numberOfTriggeringCells, UE measures height dependent SSBs for the current height (If any SSB-ToMeasure is not configured, UE measures all SS blocks as a legacy operation)</w:t>
      </w:r>
    </w:p>
    <w:p w14:paraId="48DD6669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20"/>
        </w:rPr>
      </w:pPr>
      <w:r w:rsidRPr="00455E4F">
        <w:rPr>
          <w:sz w:val="20"/>
          <w:szCs w:val="20"/>
        </w:rPr>
        <w:t>-</w:t>
      </w:r>
      <w:r w:rsidRPr="00455E4F">
        <w:rPr>
          <w:sz w:val="20"/>
          <w:szCs w:val="20"/>
        </w:rPr>
        <w:tab/>
        <w:t xml:space="preserve">height based </w:t>
      </w:r>
      <w:r w:rsidRPr="00455E4F">
        <w:rPr>
          <w:i/>
          <w:iCs/>
          <w:sz w:val="20"/>
          <w:szCs w:val="20"/>
        </w:rPr>
        <w:t>ssb-toMeasure configuration for IDLE/INACTIVE will not be support in Rel-18</w:t>
      </w:r>
    </w:p>
    <w:p w14:paraId="70AEAC26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55E4F">
        <w:rPr>
          <w:sz w:val="20"/>
          <w:szCs w:val="20"/>
        </w:rPr>
        <w:t>-</w:t>
      </w:r>
      <w:r w:rsidRPr="00455E4F">
        <w:rPr>
          <w:sz w:val="20"/>
          <w:szCs w:val="20"/>
        </w:rPr>
        <w:tab/>
        <w:t>Prohibit timer will not be supported</w:t>
      </w:r>
    </w:p>
    <w:p w14:paraId="780F1E1E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55E4F">
        <w:rPr>
          <w:sz w:val="20"/>
          <w:szCs w:val="20"/>
        </w:rPr>
        <w:t>-</w:t>
      </w:r>
      <w:r w:rsidRPr="00455E4F">
        <w:rPr>
          <w:sz w:val="20"/>
          <w:szCs w:val="20"/>
        </w:rPr>
        <w:tab/>
        <w:t>RSRP/RSRQ measurements will always be reported with height reporting (as currently it is mandatory)</w:t>
      </w:r>
    </w:p>
    <w:p w14:paraId="77036FE3" w14:textId="77777777" w:rsidR="008613FF" w:rsidRPr="00455E4F" w:rsidRDefault="008613FF" w:rsidP="00861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455E4F">
        <w:rPr>
          <w:sz w:val="20"/>
          <w:szCs w:val="20"/>
        </w:rPr>
        <w:t>-</w:t>
      </w:r>
      <w:r w:rsidRPr="00455E4F">
        <w:rPr>
          <w:sz w:val="20"/>
          <w:szCs w:val="20"/>
        </w:rPr>
        <w:tab/>
        <w:t>Similar to all other event triggers in NR, allow reportOnLeave and timeToTrigger configuration for all newly introduced events (already captured in the running CR)</w:t>
      </w:r>
    </w:p>
    <w:p w14:paraId="0FC20D7B" w14:textId="77777777" w:rsidR="006014D6" w:rsidRPr="00455E4F" w:rsidRDefault="006014D6" w:rsidP="006014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</w:p>
    <w:p w14:paraId="6C378CA1" w14:textId="4D8796DE" w:rsidR="004547B6" w:rsidRPr="00455E4F" w:rsidRDefault="004547B6" w:rsidP="004547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259" w:firstLine="0"/>
        <w:rPr>
          <w:sz w:val="20"/>
          <w:szCs w:val="20"/>
        </w:rPr>
      </w:pPr>
    </w:p>
    <w:p w14:paraId="506E185B" w14:textId="76372645" w:rsidR="004547B6" w:rsidRPr="00455E4F" w:rsidRDefault="004547B6" w:rsidP="004547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455E4F">
        <w:rPr>
          <w:b/>
          <w:bCs/>
          <w:sz w:val="20"/>
          <w:szCs w:val="20"/>
        </w:rPr>
        <w:t>Agreements from RAN2#121bis-e:</w:t>
      </w:r>
    </w:p>
    <w:p w14:paraId="3AFCEF18" w14:textId="77777777" w:rsidR="004547B6" w:rsidRPr="00455E4F" w:rsidRDefault="004547B6" w:rsidP="00DB527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  <w:highlight w:val="yellow"/>
        </w:rPr>
      </w:pPr>
      <w:r w:rsidRPr="00455E4F">
        <w:rPr>
          <w:sz w:val="20"/>
          <w:szCs w:val="20"/>
        </w:rPr>
        <w:t xml:space="preserve">For MO configuration parameters: at least the following will have ability to be configured with height-dependent more-than-one configurations/values, each for a specific height region: SSB- ToMeasure. </w:t>
      </w:r>
      <w:r w:rsidRPr="00455E4F">
        <w:rPr>
          <w:sz w:val="20"/>
          <w:szCs w:val="20"/>
          <w:highlight w:val="yellow"/>
        </w:rPr>
        <w:t xml:space="preserve">Details on how to specify is FFS.    FFS on UE behavior on L1 and L3 measurement.  </w:t>
      </w:r>
    </w:p>
    <w:p w14:paraId="65B39751" w14:textId="77777777" w:rsidR="004547B6" w:rsidRPr="00F738C4" w:rsidRDefault="004547B6" w:rsidP="004547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259" w:firstLine="0"/>
      </w:pPr>
    </w:p>
    <w:p w14:paraId="1BEB7ED1" w14:textId="33087485" w:rsidR="00387A78" w:rsidRPr="00FE1AFA" w:rsidRDefault="00027486" w:rsidP="0090714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FE1AFA">
        <w:rPr>
          <w:rFonts w:ascii="Times New Roman" w:hAnsi="Times New Roman"/>
          <w:sz w:val="20"/>
          <w:lang w:eastAsia="zh-CN"/>
        </w:rPr>
        <w:t>The intention of t</w:t>
      </w:r>
      <w:r w:rsidR="009A02D0" w:rsidRPr="00FE1AFA">
        <w:rPr>
          <w:rFonts w:ascii="Times New Roman" w:hAnsi="Times New Roman"/>
          <w:sz w:val="20"/>
          <w:lang w:eastAsia="zh-CN"/>
        </w:rPr>
        <w:t xml:space="preserve">his paper </w:t>
      </w:r>
      <w:r w:rsidRPr="00FE1AFA">
        <w:rPr>
          <w:rFonts w:ascii="Times New Roman" w:hAnsi="Times New Roman"/>
          <w:sz w:val="20"/>
          <w:lang w:eastAsia="zh-CN"/>
        </w:rPr>
        <w:t>is to further discuss the remaining issues</w:t>
      </w:r>
      <w:r w:rsidR="002D668C" w:rsidRPr="00FE1AFA">
        <w:rPr>
          <w:rFonts w:ascii="Times New Roman" w:hAnsi="Times New Roman"/>
          <w:sz w:val="20"/>
          <w:lang w:eastAsia="zh-CN"/>
        </w:rPr>
        <w:t xml:space="preserve"> </w:t>
      </w:r>
      <w:r w:rsidR="00666BC1">
        <w:rPr>
          <w:rFonts w:ascii="Times New Roman" w:hAnsi="Times New Roman"/>
          <w:sz w:val="20"/>
          <w:lang w:eastAsia="zh-CN"/>
        </w:rPr>
        <w:t>on</w:t>
      </w:r>
      <w:r w:rsidR="009C18CE" w:rsidRPr="00FE1AFA">
        <w:rPr>
          <w:rFonts w:ascii="Times New Roman" w:hAnsi="Times New Roman"/>
          <w:sz w:val="20"/>
          <w:lang w:eastAsia="zh-CN"/>
        </w:rPr>
        <w:t xml:space="preserve"> </w:t>
      </w:r>
      <w:r w:rsidR="007162BE" w:rsidRPr="00FE1AFA">
        <w:rPr>
          <w:rFonts w:ascii="Times New Roman" w:hAnsi="Times New Roman"/>
          <w:sz w:val="20"/>
          <w:lang w:eastAsia="zh-CN"/>
        </w:rPr>
        <w:t>measurement reporting enhancement</w:t>
      </w:r>
      <w:r w:rsidR="008F56B6" w:rsidRPr="00FE1AFA">
        <w:rPr>
          <w:rFonts w:ascii="Times New Roman" w:hAnsi="Times New Roman"/>
          <w:sz w:val="20"/>
          <w:lang w:eastAsia="zh-CN"/>
        </w:rPr>
        <w:t>.</w:t>
      </w:r>
      <w:r w:rsidR="002D668C" w:rsidRPr="00FE1AFA">
        <w:rPr>
          <w:rFonts w:ascii="Times New Roman" w:hAnsi="Times New Roman"/>
          <w:sz w:val="20"/>
          <w:lang w:eastAsia="zh-CN"/>
        </w:rPr>
        <w:t xml:space="preserve">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285F072B" w14:textId="0CD37EE7" w:rsidR="00230D7C" w:rsidRPr="009B23AB" w:rsidRDefault="00A010B4" w:rsidP="00DB527A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b/>
          <w:sz w:val="20"/>
          <w:szCs w:val="20"/>
          <w:lang w:val="en-US" w:eastAsia="zh-CN"/>
        </w:rPr>
      </w:pPr>
      <w:r>
        <w:rPr>
          <w:b/>
          <w:sz w:val="20"/>
          <w:szCs w:val="20"/>
          <w:lang w:val="en-US" w:eastAsia="zh-CN"/>
        </w:rPr>
        <w:t>H</w:t>
      </w:r>
      <w:r w:rsidR="00230D7C" w:rsidRPr="009B23AB">
        <w:rPr>
          <w:b/>
          <w:sz w:val="20"/>
          <w:szCs w:val="20"/>
          <w:lang w:val="en-US" w:eastAsia="zh-CN"/>
        </w:rPr>
        <w:t>ow to specify height-dependent SSB-ToMeasure</w:t>
      </w:r>
    </w:p>
    <w:p w14:paraId="1B0AFD54" w14:textId="77777777" w:rsidR="00666BC1" w:rsidRDefault="00666BC1" w:rsidP="00666BC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14050A">
        <w:rPr>
          <w:rFonts w:ascii="Times New Roman" w:hAnsi="Times New Roman"/>
          <w:sz w:val="20"/>
          <w:lang w:eastAsia="zh-CN"/>
        </w:rPr>
        <w:t>In</w:t>
      </w:r>
      <w:r>
        <w:rPr>
          <w:rFonts w:ascii="Times New Roman" w:hAnsi="Times New Roman"/>
          <w:sz w:val="20"/>
          <w:lang w:eastAsia="zh-CN"/>
        </w:rPr>
        <w:t xml:space="preserve"> </w:t>
      </w:r>
      <w:r w:rsidRPr="0014050A">
        <w:rPr>
          <w:rFonts w:ascii="Times New Roman" w:hAnsi="Times New Roman"/>
          <w:sz w:val="20"/>
          <w:lang w:eastAsia="zh-CN"/>
        </w:rPr>
        <w:t xml:space="preserve">RAN2#122 meeting, it </w:t>
      </w:r>
      <w:r>
        <w:rPr>
          <w:rFonts w:ascii="Times New Roman" w:hAnsi="Times New Roman"/>
          <w:sz w:val="20"/>
          <w:lang w:eastAsia="zh-CN"/>
        </w:rPr>
        <w:t>had been</w:t>
      </w:r>
      <w:r w:rsidRPr="0014050A">
        <w:rPr>
          <w:rFonts w:ascii="Times New Roman" w:hAnsi="Times New Roman"/>
          <w:sz w:val="20"/>
          <w:lang w:eastAsia="zh-CN"/>
        </w:rPr>
        <w:t xml:space="preserve"> agreed to add </w:t>
      </w:r>
      <w:r>
        <w:rPr>
          <w:rFonts w:ascii="Times New Roman" w:hAnsi="Times New Roman"/>
          <w:sz w:val="20"/>
          <w:lang w:eastAsia="zh-CN"/>
        </w:rPr>
        <w:t xml:space="preserve">the </w:t>
      </w:r>
      <w:r w:rsidRPr="0014050A">
        <w:rPr>
          <w:rFonts w:ascii="Times New Roman" w:hAnsi="Times New Roman"/>
          <w:sz w:val="20"/>
          <w:lang w:eastAsia="zh-CN"/>
        </w:rPr>
        <w:t xml:space="preserve">height-based list of </w:t>
      </w:r>
      <w:r w:rsidRPr="003409B7">
        <w:rPr>
          <w:rFonts w:ascii="Times New Roman" w:hAnsi="Times New Roman"/>
          <w:b/>
          <w:bCs/>
          <w:i/>
          <w:iCs/>
          <w:sz w:val="20"/>
          <w:lang w:eastAsia="zh-CN"/>
        </w:rPr>
        <w:t>SSB-ToMeasure</w:t>
      </w:r>
      <w:r w:rsidRPr="0014050A">
        <w:rPr>
          <w:rFonts w:ascii="Times New Roman" w:hAnsi="Times New Roman"/>
          <w:sz w:val="20"/>
          <w:lang w:eastAsia="zh-CN"/>
        </w:rPr>
        <w:t xml:space="preserve"> with corresponding height ranges and hysteresis in </w:t>
      </w:r>
      <w:r w:rsidRPr="0014050A">
        <w:rPr>
          <w:rFonts w:ascii="Times New Roman" w:hAnsi="Times New Roman"/>
          <w:i/>
          <w:sz w:val="20"/>
          <w:lang w:eastAsia="zh-CN"/>
        </w:rPr>
        <w:t>MeasObjectNR</w:t>
      </w:r>
      <w:r w:rsidRPr="0014050A">
        <w:rPr>
          <w:rFonts w:ascii="Times New Roman" w:hAnsi="Times New Roman"/>
          <w:sz w:val="20"/>
          <w:lang w:eastAsia="zh-CN"/>
        </w:rPr>
        <w:t>.</w:t>
      </w:r>
      <w:r>
        <w:rPr>
          <w:rFonts w:ascii="Times New Roman" w:eastAsia="宋体" w:hAnsi="Times New Roman" w:hint="eastAsia"/>
          <w:sz w:val="20"/>
          <w:lang w:eastAsia="zh-CN"/>
        </w:rPr>
        <w:t xml:space="preserve"> </w:t>
      </w:r>
      <w:r>
        <w:rPr>
          <w:rFonts w:ascii="Times New Roman" w:eastAsia="宋体" w:hAnsi="Times New Roman"/>
          <w:sz w:val="20"/>
          <w:lang w:eastAsia="zh-CN"/>
        </w:rPr>
        <w:t>H</w:t>
      </w:r>
      <w:r>
        <w:rPr>
          <w:rFonts w:ascii="Times New Roman" w:eastAsia="宋体" w:hAnsi="Times New Roman" w:hint="eastAsia"/>
          <w:sz w:val="20"/>
          <w:lang w:eastAsia="zh-CN"/>
        </w:rPr>
        <w:t>o</w:t>
      </w:r>
      <w:r>
        <w:rPr>
          <w:rFonts w:ascii="Times New Roman" w:eastAsia="宋体" w:hAnsi="Times New Roman"/>
          <w:sz w:val="20"/>
          <w:lang w:eastAsia="zh-CN"/>
        </w:rPr>
        <w:t>wever, d</w:t>
      </w:r>
      <w:r w:rsidRPr="00733508">
        <w:rPr>
          <w:rFonts w:ascii="Times New Roman" w:eastAsia="宋体" w:hAnsi="Times New Roman"/>
          <w:sz w:val="20"/>
          <w:lang w:eastAsia="zh-CN"/>
        </w:rPr>
        <w:t>etails on how to specify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Pr="009B1F8E">
        <w:rPr>
          <w:rFonts w:ascii="Times New Roman" w:eastAsia="宋体" w:hAnsi="Times New Roman"/>
          <w:sz w:val="20"/>
          <w:lang w:eastAsia="zh-CN"/>
        </w:rPr>
        <w:t xml:space="preserve">height-dependent </w:t>
      </w:r>
      <w:r w:rsidRPr="003409B7">
        <w:rPr>
          <w:rFonts w:ascii="Times New Roman" w:eastAsia="宋体" w:hAnsi="Times New Roman"/>
          <w:b/>
          <w:bCs/>
          <w:i/>
          <w:iCs/>
          <w:sz w:val="20"/>
          <w:lang w:eastAsia="zh-CN"/>
        </w:rPr>
        <w:t>SSB-ToMeasure</w:t>
      </w:r>
      <w:r w:rsidRPr="00733508">
        <w:rPr>
          <w:rFonts w:ascii="Times New Roman" w:eastAsia="宋体" w:hAnsi="Times New Roman"/>
          <w:sz w:val="20"/>
          <w:lang w:eastAsia="zh-CN"/>
        </w:rPr>
        <w:t xml:space="preserve"> </w:t>
      </w:r>
      <w:r>
        <w:rPr>
          <w:rFonts w:ascii="Times New Roman" w:eastAsia="宋体" w:hAnsi="Times New Roman"/>
          <w:sz w:val="20"/>
          <w:lang w:eastAsia="zh-CN"/>
        </w:rPr>
        <w:t>still needs to be discussed</w:t>
      </w:r>
      <w:r w:rsidRPr="00733508">
        <w:rPr>
          <w:rFonts w:ascii="Times New Roman" w:eastAsia="宋体" w:hAnsi="Times New Roman"/>
          <w:sz w:val="20"/>
          <w:lang w:eastAsia="zh-CN"/>
        </w:rPr>
        <w:t>.</w:t>
      </w:r>
    </w:p>
    <w:p w14:paraId="72680169" w14:textId="36568065" w:rsidR="00666BC1" w:rsidRPr="00666BC1" w:rsidRDefault="00666BC1" w:rsidP="009B639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 w:hint="eastAsia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To use</w:t>
      </w:r>
      <w:r w:rsidRPr="00E142B7" w:rsidDel="0040414C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 xml:space="preserve">the existing </w:t>
      </w:r>
      <w:r w:rsidRPr="0014050A">
        <w:rPr>
          <w:rFonts w:ascii="Times New Roman" w:hAnsi="Times New Roman"/>
          <w:i/>
          <w:sz w:val="20"/>
          <w:lang w:eastAsia="zh-CN"/>
        </w:rPr>
        <w:t>ToAddModList/ToRemvoeList</w:t>
      </w:r>
      <w:r w:rsidRPr="00FE1AFA">
        <w:rPr>
          <w:rFonts w:ascii="Times New Roman" w:hAnsi="Times New Roman"/>
          <w:sz w:val="20"/>
          <w:lang w:eastAsia="zh-CN"/>
        </w:rPr>
        <w:t xml:space="preserve"> </w:t>
      </w:r>
      <w:r w:rsidRPr="000A10C9">
        <w:rPr>
          <w:rFonts w:ascii="Times New Roman" w:hAnsi="Times New Roman"/>
          <w:sz w:val="20"/>
          <w:lang w:eastAsia="zh-CN"/>
        </w:rPr>
        <w:t>structure</w:t>
      </w:r>
      <w:r w:rsidRPr="00F550A7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 xml:space="preserve">is most direct way to achieve the goal </w:t>
      </w:r>
      <w:r w:rsidRPr="00FE1AFA">
        <w:rPr>
          <w:rFonts w:ascii="Times New Roman" w:hAnsi="Times New Roman"/>
          <w:sz w:val="20"/>
          <w:lang w:eastAsia="zh-CN"/>
        </w:rPr>
        <w:t xml:space="preserve">. Through </w:t>
      </w:r>
      <w:r>
        <w:rPr>
          <w:rFonts w:ascii="Times New Roman" w:hAnsi="Times New Roman"/>
          <w:sz w:val="20"/>
          <w:lang w:eastAsia="zh-CN"/>
        </w:rPr>
        <w:t xml:space="preserve">the existing </w:t>
      </w:r>
      <w:r w:rsidRPr="0014050A">
        <w:rPr>
          <w:rFonts w:ascii="Times New Roman" w:hAnsi="Times New Roman"/>
          <w:i/>
          <w:sz w:val="20"/>
          <w:lang w:eastAsia="zh-CN"/>
        </w:rPr>
        <w:t>ToAddModList/ToRemvoeList</w:t>
      </w:r>
      <w:r w:rsidRPr="00FE1AFA">
        <w:rPr>
          <w:rFonts w:ascii="Times New Roman" w:hAnsi="Times New Roman"/>
          <w:sz w:val="20"/>
          <w:lang w:eastAsia="zh-CN"/>
        </w:rPr>
        <w:t xml:space="preserve"> </w:t>
      </w:r>
      <w:r w:rsidRPr="000A10C9">
        <w:rPr>
          <w:rFonts w:ascii="Times New Roman" w:hAnsi="Times New Roman"/>
          <w:sz w:val="20"/>
          <w:lang w:eastAsia="zh-CN"/>
        </w:rPr>
        <w:t>structure</w:t>
      </w:r>
      <w:r w:rsidRPr="00FE1AFA">
        <w:rPr>
          <w:rFonts w:ascii="Times New Roman" w:hAnsi="Times New Roman"/>
          <w:sz w:val="20"/>
          <w:lang w:eastAsia="zh-CN"/>
        </w:rPr>
        <w:t>, the height-specific</w:t>
      </w:r>
      <w:r w:rsidRPr="00DE629A">
        <w:rPr>
          <w:rFonts w:ascii="Times New Roman" w:hAnsi="Times New Roman"/>
          <w:i/>
          <w:sz w:val="20"/>
          <w:lang w:eastAsia="zh-CN"/>
        </w:rPr>
        <w:t xml:space="preserve"> SSB-ToMeasure </w:t>
      </w:r>
      <w:r>
        <w:rPr>
          <w:rFonts w:ascii="Times New Roman" w:hAnsi="Times New Roman"/>
          <w:i/>
          <w:sz w:val="20"/>
          <w:lang w:eastAsia="zh-CN"/>
        </w:rPr>
        <w:t xml:space="preserve">is </w:t>
      </w:r>
      <w:r>
        <w:rPr>
          <w:rFonts w:ascii="Times New Roman" w:hAnsi="Times New Roman"/>
          <w:sz w:val="20"/>
          <w:lang w:eastAsia="zh-CN"/>
        </w:rPr>
        <w:t>associated</w:t>
      </w:r>
      <w:r w:rsidRPr="00FE1AFA">
        <w:rPr>
          <w:rFonts w:ascii="Times New Roman" w:hAnsi="Times New Roman"/>
          <w:sz w:val="20"/>
          <w:lang w:eastAsia="zh-CN"/>
        </w:rPr>
        <w:t xml:space="preserve"> with the </w:t>
      </w:r>
      <w:r>
        <w:rPr>
          <w:rFonts w:ascii="Times New Roman" w:hAnsi="Times New Roman"/>
          <w:sz w:val="20"/>
          <w:lang w:eastAsia="zh-CN"/>
        </w:rPr>
        <w:t>corresponding</w:t>
      </w:r>
      <w:r w:rsidRPr="00FE1AFA">
        <w:rPr>
          <w:rFonts w:ascii="Times New Roman" w:hAnsi="Times New Roman"/>
          <w:sz w:val="20"/>
          <w:lang w:eastAsia="zh-CN"/>
        </w:rPr>
        <w:t xml:space="preserve"> height region by one entry. </w:t>
      </w:r>
      <w:r>
        <w:rPr>
          <w:rFonts w:ascii="Times New Roman" w:hAnsi="Times New Roman"/>
          <w:sz w:val="20"/>
          <w:lang w:eastAsia="zh-CN"/>
        </w:rPr>
        <w:t>Furthermore</w:t>
      </w:r>
      <w:r w:rsidRPr="00FE1AFA">
        <w:rPr>
          <w:rFonts w:ascii="Times New Roman" w:hAnsi="Times New Roman"/>
          <w:sz w:val="20"/>
          <w:lang w:eastAsia="zh-CN"/>
        </w:rPr>
        <w:t>, the</w:t>
      </w:r>
      <w:r w:rsidRPr="0014050A">
        <w:rPr>
          <w:rFonts w:ascii="Times New Roman" w:hAnsi="Times New Roman"/>
          <w:i/>
          <w:sz w:val="20"/>
          <w:lang w:eastAsia="zh-CN"/>
        </w:rPr>
        <w:t xml:space="preserve"> ToAddModList/ToRemvoeList</w:t>
      </w:r>
      <w:r w:rsidRPr="00FE1AFA">
        <w:rPr>
          <w:rFonts w:ascii="Times New Roman" w:hAnsi="Times New Roman"/>
          <w:sz w:val="20"/>
          <w:lang w:eastAsia="zh-CN"/>
        </w:rPr>
        <w:t xml:space="preserve"> structure is </w:t>
      </w:r>
      <w:r>
        <w:rPr>
          <w:rFonts w:ascii="Times New Roman" w:hAnsi="Times New Roman"/>
          <w:sz w:val="20"/>
          <w:lang w:eastAsia="zh-CN"/>
        </w:rPr>
        <w:t>also beneficial to</w:t>
      </w:r>
      <w:r w:rsidRPr="00FE1AFA">
        <w:rPr>
          <w:rFonts w:ascii="Times New Roman" w:hAnsi="Times New Roman"/>
          <w:sz w:val="20"/>
          <w:lang w:eastAsia="zh-CN"/>
        </w:rPr>
        <w:t xml:space="preserve"> support future extensions. </w:t>
      </w:r>
    </w:p>
    <w:p w14:paraId="589B9B79" w14:textId="62FA1ED8" w:rsidR="008644DA" w:rsidRPr="009B639E" w:rsidRDefault="009B639E" w:rsidP="008644D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 w:val="20"/>
          <w:lang w:eastAsia="zh-CN"/>
        </w:rPr>
      </w:pPr>
      <w:r w:rsidRPr="00230D7C">
        <w:rPr>
          <w:rFonts w:eastAsia="宋体" w:cs="Calibri"/>
          <w:b/>
          <w:sz w:val="20"/>
          <w:lang w:eastAsia="zh-CN"/>
        </w:rPr>
        <w:t xml:space="preserve">Proposal </w:t>
      </w:r>
      <w:r>
        <w:rPr>
          <w:rFonts w:eastAsia="宋体" w:cs="Calibri"/>
          <w:b/>
          <w:sz w:val="20"/>
          <w:lang w:eastAsia="zh-CN"/>
        </w:rPr>
        <w:t>1</w:t>
      </w:r>
      <w:r w:rsidRPr="00230D7C">
        <w:rPr>
          <w:rFonts w:eastAsia="宋体" w:cs="Calibri"/>
          <w:b/>
          <w:sz w:val="20"/>
          <w:lang w:eastAsia="zh-CN"/>
        </w:rPr>
        <w:t xml:space="preserve">:  </w:t>
      </w:r>
      <w:r>
        <w:rPr>
          <w:rFonts w:eastAsia="宋体" w:cs="Calibri"/>
          <w:b/>
          <w:sz w:val="20"/>
          <w:lang w:eastAsia="zh-CN"/>
        </w:rPr>
        <w:t>T</w:t>
      </w:r>
      <w:r w:rsidRPr="00230D7C">
        <w:rPr>
          <w:rFonts w:eastAsia="宋体" w:cs="Calibri"/>
          <w:b/>
          <w:sz w:val="20"/>
          <w:lang w:eastAsia="zh-CN"/>
        </w:rPr>
        <w:t>o configure the height-based list of SSB-ToMeasure</w:t>
      </w:r>
      <w:r>
        <w:rPr>
          <w:rFonts w:eastAsia="宋体" w:cs="Calibri"/>
          <w:b/>
          <w:sz w:val="20"/>
          <w:lang w:eastAsia="zh-CN"/>
        </w:rPr>
        <w:t xml:space="preserve"> with</w:t>
      </w:r>
      <w:r w:rsidR="00666BC1">
        <w:rPr>
          <w:rFonts w:eastAsia="宋体" w:cs="Calibri"/>
          <w:b/>
          <w:sz w:val="20"/>
          <w:lang w:eastAsia="zh-CN"/>
        </w:rPr>
        <w:t>in</w:t>
      </w:r>
      <w:r>
        <w:rPr>
          <w:rFonts w:eastAsia="宋体" w:cs="Calibri"/>
          <w:b/>
          <w:sz w:val="20"/>
          <w:lang w:eastAsia="zh-CN"/>
        </w:rPr>
        <w:t xml:space="preserve"> </w:t>
      </w:r>
      <w:r w:rsidRPr="00230D7C">
        <w:rPr>
          <w:rFonts w:eastAsia="宋体" w:cs="Calibri"/>
          <w:b/>
          <w:sz w:val="20"/>
          <w:lang w:eastAsia="zh-CN"/>
        </w:rPr>
        <w:t>ToAddModList/ToRemoveList structure.</w:t>
      </w:r>
    </w:p>
    <w:p w14:paraId="30D8F63A" w14:textId="042E888E" w:rsidR="0014050A" w:rsidRPr="0014050A" w:rsidRDefault="00666BC1" w:rsidP="0014050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14050A">
        <w:rPr>
          <w:rFonts w:ascii="Times New Roman" w:hAnsi="Times New Roman"/>
          <w:sz w:val="20"/>
          <w:lang w:eastAsia="zh-CN"/>
        </w:rPr>
        <w:lastRenderedPageBreak/>
        <w:t xml:space="preserve">Based on </w:t>
      </w:r>
      <w:r>
        <w:rPr>
          <w:rFonts w:ascii="Times New Roman" w:hAnsi="Times New Roman"/>
          <w:sz w:val="20"/>
          <w:lang w:eastAsia="zh-CN"/>
        </w:rPr>
        <w:t>RAN2</w:t>
      </w:r>
      <w:r w:rsidRPr="0014050A">
        <w:rPr>
          <w:rFonts w:ascii="Times New Roman" w:hAnsi="Times New Roman"/>
          <w:sz w:val="20"/>
          <w:lang w:eastAsia="zh-CN"/>
        </w:rPr>
        <w:t xml:space="preserve"> agreements,</w:t>
      </w:r>
      <w:r>
        <w:rPr>
          <w:rFonts w:ascii="Times New Roman" w:hAnsi="Times New Roman"/>
          <w:sz w:val="20"/>
          <w:lang w:eastAsia="zh-CN"/>
        </w:rPr>
        <w:t xml:space="preserve"> </w:t>
      </w:r>
      <w:r w:rsidRPr="0014050A">
        <w:rPr>
          <w:rFonts w:ascii="Times New Roman" w:hAnsi="Times New Roman"/>
          <w:sz w:val="20"/>
          <w:lang w:eastAsia="zh-CN"/>
        </w:rPr>
        <w:t xml:space="preserve">the network </w:t>
      </w:r>
      <w:r>
        <w:rPr>
          <w:rFonts w:ascii="Times New Roman" w:hAnsi="Times New Roman"/>
          <w:sz w:val="20"/>
          <w:lang w:eastAsia="zh-CN"/>
        </w:rPr>
        <w:t>could configure</w:t>
      </w:r>
      <w:r w:rsidRPr="0014050A">
        <w:rPr>
          <w:rFonts w:ascii="Times New Roman" w:hAnsi="Times New Roman"/>
          <w:sz w:val="20"/>
          <w:lang w:eastAsia="zh-CN"/>
        </w:rPr>
        <w:t xml:space="preserve"> multiple </w:t>
      </w:r>
      <w:r w:rsidRPr="0014050A">
        <w:rPr>
          <w:rFonts w:ascii="Times New Roman" w:hAnsi="Times New Roman"/>
          <w:i/>
          <w:sz w:val="20"/>
          <w:lang w:eastAsia="zh-CN"/>
        </w:rPr>
        <w:t>SSB-ToMeasure</w:t>
      </w:r>
      <w:r w:rsidRPr="0014050A">
        <w:rPr>
          <w:rFonts w:ascii="Times New Roman" w:hAnsi="Times New Roman"/>
          <w:sz w:val="20"/>
          <w:lang w:eastAsia="zh-CN"/>
        </w:rPr>
        <w:t xml:space="preserve"> for different height ranges </w:t>
      </w:r>
      <w:r>
        <w:rPr>
          <w:rFonts w:ascii="Times New Roman" w:hAnsi="Times New Roman"/>
          <w:sz w:val="20"/>
          <w:lang w:eastAsia="zh-CN"/>
        </w:rPr>
        <w:t>to UE.</w:t>
      </w:r>
      <w:r w:rsidRPr="0014050A">
        <w:rPr>
          <w:rFonts w:ascii="Times New Roman" w:hAnsi="Times New Roman"/>
          <w:sz w:val="20"/>
          <w:lang w:eastAsia="zh-CN"/>
        </w:rPr>
        <w:t xml:space="preserve"> </w:t>
      </w:r>
      <w:r w:rsidR="0074069D">
        <w:rPr>
          <w:rFonts w:ascii="Times New Roman" w:hAnsi="Times New Roman"/>
          <w:sz w:val="20"/>
          <w:lang w:eastAsia="zh-CN"/>
        </w:rPr>
        <w:t xml:space="preserve">The UE </w:t>
      </w:r>
      <w:r w:rsidR="00BC4EC8">
        <w:rPr>
          <w:rFonts w:ascii="Times New Roman" w:hAnsi="Times New Roman"/>
          <w:sz w:val="20"/>
          <w:lang w:eastAsia="zh-CN"/>
        </w:rPr>
        <w:t>needs</w:t>
      </w:r>
      <w:r w:rsidR="00F43A4E">
        <w:rPr>
          <w:rFonts w:ascii="Times New Roman" w:hAnsi="Times New Roman"/>
          <w:sz w:val="20"/>
          <w:lang w:eastAsia="zh-CN"/>
        </w:rPr>
        <w:t xml:space="preserve"> to</w:t>
      </w:r>
      <w:r w:rsidR="0014050A" w:rsidRPr="0014050A">
        <w:rPr>
          <w:rFonts w:ascii="Times New Roman" w:hAnsi="Times New Roman"/>
          <w:sz w:val="20"/>
          <w:lang w:eastAsia="zh-CN"/>
        </w:rPr>
        <w:t xml:space="preserve"> switch between different configurations</w:t>
      </w:r>
      <w:r w:rsidR="0074069D">
        <w:rPr>
          <w:rFonts w:ascii="Times New Roman" w:hAnsi="Times New Roman"/>
          <w:sz w:val="20"/>
          <w:lang w:eastAsia="zh-CN"/>
        </w:rPr>
        <w:t xml:space="preserve"> </w:t>
      </w:r>
      <w:r w:rsidR="0074069D" w:rsidRPr="0074069D">
        <w:rPr>
          <w:rFonts w:ascii="Times New Roman" w:hAnsi="Times New Roman"/>
          <w:sz w:val="20"/>
          <w:lang w:eastAsia="zh-CN"/>
        </w:rPr>
        <w:t xml:space="preserve">when </w:t>
      </w:r>
      <w:r w:rsidR="0074069D">
        <w:rPr>
          <w:rFonts w:ascii="Times New Roman" w:hAnsi="Times New Roman"/>
          <w:sz w:val="20"/>
          <w:lang w:eastAsia="zh-CN"/>
        </w:rPr>
        <w:t>it</w:t>
      </w:r>
      <w:r w:rsidR="0074069D" w:rsidRPr="0074069D">
        <w:rPr>
          <w:rFonts w:ascii="Times New Roman" w:hAnsi="Times New Roman"/>
          <w:sz w:val="20"/>
          <w:lang w:eastAsia="zh-CN"/>
        </w:rPr>
        <w:t xml:space="preserve"> moves in </w:t>
      </w:r>
      <w:r w:rsidR="0074069D">
        <w:rPr>
          <w:rFonts w:ascii="Times New Roman" w:hAnsi="Times New Roman"/>
          <w:sz w:val="20"/>
          <w:lang w:eastAsia="zh-CN"/>
        </w:rPr>
        <w:t xml:space="preserve">the </w:t>
      </w:r>
      <w:r w:rsidR="0074069D" w:rsidRPr="0074069D">
        <w:rPr>
          <w:rFonts w:ascii="Times New Roman" w:hAnsi="Times New Roman"/>
          <w:sz w:val="20"/>
          <w:lang w:eastAsia="zh-CN"/>
        </w:rPr>
        <w:t>vertical direction</w:t>
      </w:r>
      <w:r w:rsidR="0014050A" w:rsidRPr="0014050A">
        <w:rPr>
          <w:rFonts w:ascii="Times New Roman" w:hAnsi="Times New Roman"/>
          <w:sz w:val="20"/>
          <w:lang w:eastAsia="zh-CN"/>
        </w:rPr>
        <w:t>.</w:t>
      </w:r>
      <w:r>
        <w:rPr>
          <w:rFonts w:ascii="Times New Roman" w:hAnsi="Times New Roman"/>
          <w:sz w:val="20"/>
          <w:lang w:eastAsia="zh-CN"/>
        </w:rPr>
        <w:t xml:space="preserve"> Obviously,</w:t>
      </w:r>
      <w:r w:rsidR="0014050A" w:rsidRPr="0014050A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>t</w:t>
      </w:r>
      <w:r w:rsidRPr="00666BC1">
        <w:rPr>
          <w:rFonts w:ascii="Times New Roman" w:hAnsi="Times New Roman"/>
          <w:sz w:val="20"/>
          <w:lang w:eastAsia="zh-CN"/>
        </w:rPr>
        <w:t xml:space="preserve">he ping-pong issue may exist </w:t>
      </w:r>
      <w:r>
        <w:rPr>
          <w:rFonts w:ascii="Times New Roman" w:hAnsi="Times New Roman"/>
          <w:sz w:val="20"/>
          <w:lang w:eastAsia="zh-CN"/>
        </w:rPr>
        <w:t xml:space="preserve">during this progress. </w:t>
      </w:r>
      <w:r w:rsidR="0014050A">
        <w:rPr>
          <w:rFonts w:ascii="Times New Roman" w:hAnsi="Times New Roman"/>
          <w:sz w:val="20"/>
          <w:lang w:eastAsia="zh-CN"/>
        </w:rPr>
        <w:t>Therefore,</w:t>
      </w:r>
      <w:r w:rsidR="0014050A" w:rsidRPr="0014050A">
        <w:rPr>
          <w:rFonts w:ascii="Times New Roman" w:hAnsi="Times New Roman"/>
          <w:sz w:val="20"/>
          <w:lang w:eastAsia="zh-CN"/>
        </w:rPr>
        <w:t xml:space="preserve"> it is necessary to </w:t>
      </w:r>
      <w:r w:rsidR="00F43A4E">
        <w:rPr>
          <w:rFonts w:ascii="Times New Roman" w:hAnsi="Times New Roman"/>
          <w:sz w:val="20"/>
          <w:lang w:eastAsia="zh-CN"/>
        </w:rPr>
        <w:t xml:space="preserve">introduce </w:t>
      </w:r>
      <w:r w:rsidR="00F43A4E" w:rsidRPr="009B639E">
        <w:rPr>
          <w:rFonts w:ascii="Times New Roman" w:eastAsia="宋体" w:hAnsi="Times New Roman"/>
          <w:sz w:val="20"/>
          <w:lang w:val="en-US" w:eastAsia="zh-CN"/>
        </w:rPr>
        <w:t xml:space="preserve">the </w:t>
      </w:r>
      <w:r w:rsidR="00F43A4E">
        <w:rPr>
          <w:rFonts w:ascii="Times New Roman" w:eastAsia="宋体" w:hAnsi="Times New Roman"/>
          <w:sz w:val="20"/>
          <w:lang w:val="en-US" w:eastAsia="zh-CN"/>
        </w:rPr>
        <w:t>hysteresis parameters</w:t>
      </w:r>
      <w:r w:rsidR="0014050A" w:rsidRPr="0014050A">
        <w:rPr>
          <w:rFonts w:ascii="Times New Roman" w:hAnsi="Times New Roman"/>
          <w:sz w:val="20"/>
          <w:lang w:eastAsia="zh-CN"/>
        </w:rPr>
        <w:t xml:space="preserve"> to avoid </w:t>
      </w:r>
      <w:r w:rsidR="00D613F4">
        <w:rPr>
          <w:rFonts w:ascii="Times New Roman" w:hAnsi="Times New Roman"/>
          <w:sz w:val="20"/>
          <w:lang w:eastAsia="zh-CN"/>
        </w:rPr>
        <w:t xml:space="preserve">the </w:t>
      </w:r>
      <w:r w:rsidR="0014050A" w:rsidRPr="0014050A">
        <w:rPr>
          <w:rFonts w:ascii="Times New Roman" w:hAnsi="Times New Roman"/>
          <w:sz w:val="20"/>
          <w:lang w:eastAsia="zh-CN"/>
        </w:rPr>
        <w:t>ping-pong</w:t>
      </w:r>
      <w:r w:rsidR="00D613F4">
        <w:rPr>
          <w:rFonts w:ascii="Times New Roman" w:hAnsi="Times New Roman"/>
          <w:sz w:val="20"/>
          <w:lang w:eastAsia="zh-CN"/>
        </w:rPr>
        <w:t xml:space="preserve"> issue</w:t>
      </w:r>
      <w:r w:rsidR="0014050A" w:rsidRPr="0014050A">
        <w:rPr>
          <w:rFonts w:ascii="Times New Roman" w:hAnsi="Times New Roman"/>
          <w:sz w:val="20"/>
          <w:lang w:eastAsia="zh-CN"/>
        </w:rPr>
        <w:t xml:space="preserve">. </w:t>
      </w:r>
    </w:p>
    <w:p w14:paraId="23FDE6D7" w14:textId="3F0ED6B3" w:rsidR="003415FE" w:rsidRDefault="0091710E" w:rsidP="009B639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宋体" w:hAnsi="Times New Roman"/>
          <w:bCs/>
          <w:i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>T</w:t>
      </w:r>
      <w:r w:rsidRPr="009B639E">
        <w:rPr>
          <w:rFonts w:ascii="Times New Roman" w:eastAsia="宋体" w:hAnsi="Times New Roman"/>
          <w:sz w:val="20"/>
          <w:lang w:val="en-US" w:eastAsia="zh-CN"/>
        </w:rPr>
        <w:t xml:space="preserve">he </w:t>
      </w:r>
      <w:r w:rsidRPr="0091710E">
        <w:rPr>
          <w:rFonts w:ascii="Times New Roman" w:eastAsia="宋体" w:hAnsi="Times New Roman"/>
          <w:sz w:val="20"/>
          <w:lang w:val="en-US" w:eastAsia="zh-CN"/>
        </w:rPr>
        <w:t xml:space="preserve">height-dependent SSB-ToMeasure </w:t>
      </w:r>
      <w:r>
        <w:rPr>
          <w:rFonts w:ascii="Times New Roman" w:eastAsia="宋体" w:hAnsi="Times New Roman"/>
          <w:sz w:val="20"/>
          <w:lang w:val="en-US" w:eastAsia="zh-CN"/>
        </w:rPr>
        <w:t xml:space="preserve">and </w:t>
      </w:r>
      <w:r w:rsidR="00754E5E">
        <w:rPr>
          <w:rFonts w:ascii="Times New Roman" w:eastAsia="宋体" w:hAnsi="Times New Roman"/>
          <w:sz w:val="20"/>
          <w:lang w:val="en-US" w:eastAsia="zh-CN"/>
        </w:rPr>
        <w:t xml:space="preserve">its </w:t>
      </w:r>
      <w:r w:rsidR="00754E5E" w:rsidRPr="00754E5E">
        <w:rPr>
          <w:rFonts w:ascii="Times New Roman" w:eastAsia="宋体" w:hAnsi="Times New Roman"/>
          <w:sz w:val="20"/>
          <w:lang w:val="en-US" w:eastAsia="zh-CN"/>
        </w:rPr>
        <w:t xml:space="preserve">corresponding </w:t>
      </w:r>
      <w:r>
        <w:rPr>
          <w:rFonts w:ascii="Times New Roman" w:eastAsia="宋体" w:hAnsi="Times New Roman"/>
          <w:sz w:val="20"/>
          <w:lang w:val="en-US" w:eastAsia="zh-CN"/>
        </w:rPr>
        <w:t>hysteresis</w:t>
      </w:r>
      <w:r w:rsidRPr="009B639E">
        <w:rPr>
          <w:rFonts w:ascii="Times New Roman" w:eastAsia="宋体" w:hAnsi="Times New Roman"/>
          <w:sz w:val="20"/>
          <w:lang w:val="en-US" w:eastAsia="zh-CN"/>
        </w:rPr>
        <w:t xml:space="preserve"> </w:t>
      </w:r>
      <w:r>
        <w:rPr>
          <w:rFonts w:ascii="Times New Roman" w:eastAsia="宋体" w:hAnsi="Times New Roman"/>
          <w:sz w:val="20"/>
          <w:lang w:val="en-US" w:eastAsia="zh-CN"/>
        </w:rPr>
        <w:t>parameters are captured i</w:t>
      </w:r>
      <w:r w:rsidR="009B639E" w:rsidRPr="009B639E">
        <w:rPr>
          <w:rFonts w:ascii="Times New Roman" w:eastAsia="宋体" w:hAnsi="Times New Roman"/>
          <w:sz w:val="20"/>
          <w:lang w:val="en-US" w:eastAsia="zh-CN"/>
        </w:rPr>
        <w:t xml:space="preserve">n </w:t>
      </w:r>
      <w:r w:rsidR="003415FE">
        <w:rPr>
          <w:rFonts w:ascii="Times New Roman" w:eastAsia="宋体" w:hAnsi="Times New Roman"/>
          <w:sz w:val="20"/>
          <w:lang w:val="en-US" w:eastAsia="zh-CN"/>
        </w:rPr>
        <w:t xml:space="preserve">the </w:t>
      </w:r>
      <w:r w:rsidR="009B639E" w:rsidRPr="009B639E">
        <w:rPr>
          <w:rFonts w:ascii="Times New Roman" w:eastAsia="宋体" w:hAnsi="Times New Roman"/>
          <w:sz w:val="20"/>
          <w:lang w:val="en-US" w:eastAsia="zh-CN"/>
        </w:rPr>
        <w:t>current running CR</w:t>
      </w:r>
      <w:r>
        <w:rPr>
          <w:rFonts w:ascii="Times New Roman" w:eastAsia="宋体" w:hAnsi="Times New Roman"/>
          <w:sz w:val="20"/>
          <w:lang w:val="en-US" w:eastAsia="zh-CN"/>
        </w:rPr>
        <w:t xml:space="preserve"> as below </w:t>
      </w:r>
      <w:r w:rsidR="00F174EB">
        <w:rPr>
          <w:rFonts w:ascii="Times New Roman" w:eastAsia="宋体" w:hAnsi="Times New Roman"/>
          <w:sz w:val="20"/>
          <w:lang w:val="en-US" w:eastAsia="zh-CN"/>
        </w:rPr>
        <w:t>[3]</w:t>
      </w:r>
      <w:r>
        <w:rPr>
          <w:rFonts w:ascii="Times New Roman" w:eastAsia="宋体" w:hAnsi="Times New Roman"/>
          <w:sz w:val="20"/>
          <w:lang w:val="en-US" w:eastAsia="zh-CN"/>
        </w:rPr>
        <w:t>:</w:t>
      </w:r>
    </w:p>
    <w:p w14:paraId="6AB431D0" w14:textId="77777777" w:rsidR="00F174EB" w:rsidRDefault="00F174EB" w:rsidP="00F174EB">
      <w:pPr>
        <w:keepNext/>
        <w:keepLines/>
        <w:overflowPunct w:val="0"/>
        <w:autoSpaceDE w:val="0"/>
        <w:autoSpaceDN w:val="0"/>
        <w:adjustRightInd w:val="0"/>
        <w:spacing w:after="0"/>
        <w:ind w:leftChars="100" w:left="220"/>
        <w:textAlignment w:val="baseline"/>
        <w:rPr>
          <w:rFonts w:ascii="Arial" w:hAnsi="Arial"/>
          <w:b/>
          <w:i/>
          <w:sz w:val="18"/>
          <w:szCs w:val="22"/>
          <w:lang w:eastAsia="en-GB"/>
        </w:rPr>
      </w:pPr>
      <w:r>
        <w:rPr>
          <w:rFonts w:ascii="Arial" w:hAnsi="Arial"/>
          <w:b/>
          <w:i/>
          <w:sz w:val="18"/>
          <w:szCs w:val="22"/>
          <w:lang w:eastAsia="en-GB"/>
        </w:rPr>
        <w:t>ssb-ToMeasureHeightBasedList</w:t>
      </w:r>
    </w:p>
    <w:p w14:paraId="1DE7D986" w14:textId="77777777" w:rsidR="00F174EB" w:rsidRPr="002839C2" w:rsidRDefault="00F174EB" w:rsidP="00F174EB">
      <w:pPr>
        <w:keepNext/>
        <w:keepLines/>
        <w:overflowPunct w:val="0"/>
        <w:autoSpaceDE w:val="0"/>
        <w:autoSpaceDN w:val="0"/>
        <w:adjustRightInd w:val="0"/>
        <w:spacing w:after="0"/>
        <w:ind w:leftChars="100" w:left="220"/>
        <w:textAlignment w:val="baseline"/>
        <w:rPr>
          <w:rFonts w:ascii="Arial" w:hAnsi="Arial"/>
          <w:bCs/>
          <w:iCs/>
          <w:sz w:val="18"/>
          <w:szCs w:val="22"/>
          <w:lang w:eastAsia="en-GB"/>
        </w:rPr>
      </w:pPr>
      <w:r>
        <w:rPr>
          <w:rFonts w:ascii="Arial" w:hAnsi="Arial"/>
          <w:bCs/>
          <w:iCs/>
          <w:sz w:val="18"/>
          <w:szCs w:val="22"/>
          <w:lang w:eastAsia="en-GB"/>
        </w:rPr>
        <w:t xml:space="preserve">List of height-dependent </w:t>
      </w:r>
      <w:r>
        <w:rPr>
          <w:rFonts w:ascii="Arial" w:hAnsi="Arial"/>
          <w:bCs/>
          <w:i/>
          <w:sz w:val="18"/>
          <w:szCs w:val="22"/>
          <w:lang w:eastAsia="en-GB"/>
        </w:rPr>
        <w:t>ssb-ToMeasure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. The UE applies </w:t>
      </w:r>
      <w:r>
        <w:rPr>
          <w:rFonts w:ascii="Arial" w:hAnsi="Arial"/>
          <w:bCs/>
          <w:i/>
          <w:sz w:val="18"/>
          <w:szCs w:val="22"/>
          <w:lang w:eastAsia="en-GB"/>
        </w:rPr>
        <w:t>ssb-ToMeasure-r18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 when the UE is withing the corresponding height range indicated by </w:t>
      </w:r>
      <w:r>
        <w:rPr>
          <w:rFonts w:ascii="Arial" w:hAnsi="Arial"/>
          <w:bCs/>
          <w:i/>
          <w:sz w:val="18"/>
          <w:szCs w:val="22"/>
          <w:lang w:eastAsia="en-GB"/>
        </w:rPr>
        <w:t xml:space="preserve">heightRange 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and ignores </w:t>
      </w:r>
      <w:r>
        <w:rPr>
          <w:rFonts w:ascii="Arial" w:hAnsi="Arial"/>
          <w:bCs/>
          <w:i/>
          <w:sz w:val="18"/>
          <w:szCs w:val="22"/>
          <w:lang w:eastAsia="en-GB"/>
        </w:rPr>
        <w:t xml:space="preserve">ssb-ToMeasure 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(without suffix). For each height range, </w:t>
      </w:r>
      <w:r>
        <w:rPr>
          <w:rFonts w:ascii="Arial" w:hAnsi="Arial"/>
          <w:bCs/>
          <w:i/>
          <w:sz w:val="18"/>
          <w:szCs w:val="22"/>
          <w:lang w:eastAsia="en-GB"/>
        </w:rPr>
        <w:t>heightMin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 indicates the minimum height in meters, </w:t>
      </w:r>
      <w:r>
        <w:rPr>
          <w:rFonts w:ascii="Arial" w:hAnsi="Arial"/>
          <w:bCs/>
          <w:i/>
          <w:sz w:val="18"/>
          <w:szCs w:val="22"/>
          <w:lang w:eastAsia="en-GB"/>
        </w:rPr>
        <w:t xml:space="preserve">heightMax 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indicates the maximum height in meters relative to sea level, and if included, </w:t>
      </w:r>
      <w:r w:rsidRPr="00FE79C4">
        <w:rPr>
          <w:rFonts w:ascii="Arial" w:hAnsi="Arial"/>
          <w:bCs/>
          <w:i/>
          <w:sz w:val="18"/>
          <w:szCs w:val="22"/>
          <w:lang w:eastAsia="en-GB"/>
        </w:rPr>
        <w:t>heightHyst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 indicates hysteresis for determination of the height range. I.e., </w:t>
      </w:r>
      <w:r w:rsidRPr="00F174EB">
        <w:rPr>
          <w:rFonts w:ascii="Arial" w:hAnsi="Arial"/>
          <w:bCs/>
          <w:iCs/>
          <w:sz w:val="18"/>
          <w:szCs w:val="22"/>
          <w:highlight w:val="yellow"/>
          <w:lang w:eastAsia="en-GB"/>
        </w:rPr>
        <w:t xml:space="preserve">when </w:t>
      </w:r>
      <w:r w:rsidRPr="00F174EB">
        <w:rPr>
          <w:rFonts w:ascii="Arial" w:hAnsi="Arial"/>
          <w:bCs/>
          <w:i/>
          <w:sz w:val="18"/>
          <w:szCs w:val="22"/>
          <w:highlight w:val="yellow"/>
          <w:lang w:eastAsia="en-GB"/>
        </w:rPr>
        <w:t>heightHyst</w:t>
      </w:r>
      <w:r w:rsidRPr="00F174EB">
        <w:rPr>
          <w:rFonts w:ascii="Arial" w:hAnsi="Arial"/>
          <w:bCs/>
          <w:iCs/>
          <w:sz w:val="18"/>
          <w:szCs w:val="22"/>
          <w:highlight w:val="yellow"/>
          <w:lang w:eastAsia="en-GB"/>
        </w:rPr>
        <w:t xml:space="preserve"> is configured for a height range, the UE considers itself to be in the range while (</w:t>
      </w:r>
      <w:r w:rsidRPr="00F174EB">
        <w:rPr>
          <w:rFonts w:ascii="Arial" w:hAnsi="Arial"/>
          <w:bCs/>
          <w:i/>
          <w:sz w:val="18"/>
          <w:szCs w:val="22"/>
          <w:highlight w:val="yellow"/>
          <w:lang w:eastAsia="en-GB"/>
        </w:rPr>
        <w:t>heightMin – heightHyst</w:t>
      </w:r>
      <w:r w:rsidRPr="00F174EB">
        <w:rPr>
          <w:rFonts w:ascii="Arial" w:hAnsi="Arial"/>
          <w:bCs/>
          <w:iCs/>
          <w:sz w:val="18"/>
          <w:szCs w:val="22"/>
          <w:highlight w:val="yellow"/>
          <w:lang w:eastAsia="en-GB"/>
        </w:rPr>
        <w:t xml:space="preserve">) </w:t>
      </w:r>
      <w:r w:rsidRPr="00F174EB">
        <w:rPr>
          <w:rFonts w:ascii="Arial" w:hAnsi="Arial" w:cs="Arial"/>
          <w:bCs/>
          <w:iCs/>
          <w:sz w:val="18"/>
          <w:szCs w:val="22"/>
          <w:highlight w:val="yellow"/>
          <w:lang w:eastAsia="en-GB"/>
        </w:rPr>
        <w:t>≤</w:t>
      </w:r>
      <w:r w:rsidRPr="00F174EB">
        <w:rPr>
          <w:rFonts w:ascii="Arial" w:hAnsi="Arial"/>
          <w:bCs/>
          <w:iCs/>
          <w:sz w:val="18"/>
          <w:szCs w:val="22"/>
          <w:highlight w:val="yellow"/>
          <w:lang w:eastAsia="en-GB"/>
        </w:rPr>
        <w:t xml:space="preserve"> UE height </w:t>
      </w:r>
      <w:r w:rsidRPr="00F174EB">
        <w:rPr>
          <w:rFonts w:ascii="Arial" w:hAnsi="Arial" w:cs="Arial"/>
          <w:bCs/>
          <w:iCs/>
          <w:sz w:val="18"/>
          <w:szCs w:val="22"/>
          <w:highlight w:val="yellow"/>
          <w:lang w:eastAsia="en-GB"/>
        </w:rPr>
        <w:t>≤</w:t>
      </w:r>
      <w:r w:rsidRPr="00F174EB">
        <w:rPr>
          <w:rFonts w:ascii="Arial" w:hAnsi="Arial"/>
          <w:bCs/>
          <w:iCs/>
          <w:sz w:val="18"/>
          <w:szCs w:val="22"/>
          <w:highlight w:val="yellow"/>
          <w:lang w:eastAsia="en-GB"/>
        </w:rPr>
        <w:t xml:space="preserve"> (</w:t>
      </w:r>
      <w:r w:rsidRPr="00F174EB">
        <w:rPr>
          <w:rFonts w:ascii="Arial" w:hAnsi="Arial"/>
          <w:bCs/>
          <w:i/>
          <w:sz w:val="18"/>
          <w:szCs w:val="22"/>
          <w:highlight w:val="yellow"/>
          <w:lang w:eastAsia="en-GB"/>
        </w:rPr>
        <w:t>heightMax + heightHyst</w:t>
      </w:r>
      <w:r w:rsidRPr="00F174EB">
        <w:rPr>
          <w:rFonts w:ascii="Arial" w:hAnsi="Arial"/>
          <w:bCs/>
          <w:iCs/>
          <w:sz w:val="18"/>
          <w:szCs w:val="22"/>
          <w:highlight w:val="yellow"/>
          <w:lang w:eastAsia="en-GB"/>
        </w:rPr>
        <w:t>)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.  </w:t>
      </w:r>
    </w:p>
    <w:p w14:paraId="1442CCEA" w14:textId="62909ECD" w:rsidR="00F174EB" w:rsidRPr="00F174EB" w:rsidRDefault="00F174EB" w:rsidP="00F174EB">
      <w:pPr>
        <w:overflowPunct w:val="0"/>
        <w:autoSpaceDE w:val="0"/>
        <w:autoSpaceDN w:val="0"/>
        <w:adjustRightInd w:val="0"/>
        <w:spacing w:line="240" w:lineRule="auto"/>
        <w:ind w:leftChars="100" w:left="220"/>
        <w:textAlignment w:val="baseline"/>
        <w:rPr>
          <w:rFonts w:ascii="Times New Roman" w:eastAsia="宋体" w:hAnsi="Times New Roman"/>
          <w:bCs/>
          <w:iCs/>
          <w:sz w:val="20"/>
          <w:lang w:val="en-US" w:eastAsia="zh-CN"/>
        </w:rPr>
      </w:pPr>
      <w:r>
        <w:rPr>
          <w:rFonts w:ascii="Arial" w:hAnsi="Arial"/>
          <w:bCs/>
          <w:iCs/>
          <w:sz w:val="18"/>
          <w:szCs w:val="22"/>
          <w:lang w:eastAsia="en-GB"/>
        </w:rPr>
        <w:t xml:space="preserve">If </w:t>
      </w:r>
      <w:r>
        <w:rPr>
          <w:rFonts w:ascii="Arial" w:hAnsi="Arial"/>
          <w:bCs/>
          <w:i/>
          <w:sz w:val="18"/>
          <w:szCs w:val="22"/>
          <w:lang w:eastAsia="en-GB"/>
        </w:rPr>
        <w:t xml:space="preserve">heightMin 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is absent, value 0 is used. If </w:t>
      </w:r>
      <w:r>
        <w:rPr>
          <w:rFonts w:ascii="Arial" w:hAnsi="Arial"/>
          <w:bCs/>
          <w:i/>
          <w:sz w:val="18"/>
          <w:szCs w:val="22"/>
          <w:lang w:eastAsia="en-GB"/>
        </w:rPr>
        <w:t>heightMax</w:t>
      </w:r>
      <w:r w:rsidRPr="00FE79C4">
        <w:rPr>
          <w:rFonts w:ascii="Arial" w:hAnsi="Arial"/>
          <w:bCs/>
          <w:iCs/>
          <w:sz w:val="18"/>
          <w:szCs w:val="22"/>
          <w:lang w:eastAsia="en-GB"/>
        </w:rPr>
        <w:t xml:space="preserve"> is absent, value </w:t>
      </w:r>
      <w:r w:rsidRPr="00FE79C4">
        <w:rPr>
          <w:rFonts w:ascii="Arial" w:hAnsi="Arial"/>
          <w:bCs/>
          <w:i/>
          <w:sz w:val="18"/>
          <w:szCs w:val="22"/>
          <w:lang w:eastAsia="en-GB"/>
        </w:rPr>
        <w:t>maxheight-r18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 is used. When the UE is in a height range for which a corresponding </w:t>
      </w:r>
      <w:r>
        <w:rPr>
          <w:rFonts w:ascii="Arial" w:hAnsi="Arial"/>
          <w:bCs/>
          <w:i/>
          <w:sz w:val="18"/>
          <w:szCs w:val="22"/>
          <w:lang w:eastAsia="en-GB"/>
        </w:rPr>
        <w:t>ssb-ToMeasure-r18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 is not congfigured, </w:t>
      </w:r>
      <w:r>
        <w:rPr>
          <w:rFonts w:ascii="Arial" w:hAnsi="Arial"/>
          <w:bCs/>
          <w:i/>
          <w:sz w:val="18"/>
          <w:szCs w:val="22"/>
          <w:lang w:eastAsia="en-GB"/>
        </w:rPr>
        <w:t>ssb-ToMeasure</w:t>
      </w:r>
      <w:r>
        <w:rPr>
          <w:rFonts w:ascii="Arial" w:hAnsi="Arial"/>
          <w:bCs/>
          <w:iCs/>
          <w:sz w:val="18"/>
          <w:szCs w:val="22"/>
          <w:lang w:eastAsia="en-GB"/>
        </w:rPr>
        <w:t xml:space="preserve"> (without suffix) applies.</w:t>
      </w:r>
    </w:p>
    <w:p w14:paraId="7779C3B2" w14:textId="13C1E7BA" w:rsidR="009B639E" w:rsidRDefault="00666BC1" w:rsidP="009B639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>
        <w:rPr>
          <w:rFonts w:ascii="Times New Roman" w:hAnsi="Times New Roman"/>
          <w:sz w:val="20"/>
          <w:lang w:eastAsia="zh-CN"/>
        </w:rPr>
        <w:t>T</w:t>
      </w:r>
      <w:r w:rsidR="00F04509" w:rsidRPr="00F04509">
        <w:rPr>
          <w:rFonts w:ascii="Times New Roman" w:hAnsi="Times New Roman"/>
          <w:sz w:val="20"/>
          <w:lang w:eastAsia="zh-CN"/>
        </w:rPr>
        <w:t xml:space="preserve">he </w:t>
      </w:r>
      <w:r w:rsidR="00F04509" w:rsidRPr="00F04509">
        <w:rPr>
          <w:rFonts w:ascii="Times New Roman" w:hAnsi="Times New Roman"/>
          <w:i/>
          <w:sz w:val="20"/>
          <w:lang w:eastAsia="zh-CN"/>
        </w:rPr>
        <w:t>heightHyst</w:t>
      </w:r>
      <w:r w:rsidR="00F04509" w:rsidRPr="00F04509">
        <w:rPr>
          <w:rFonts w:ascii="Times New Roman" w:hAnsi="Times New Roman"/>
          <w:sz w:val="20"/>
          <w:lang w:eastAsia="zh-CN"/>
        </w:rPr>
        <w:t xml:space="preserve"> </w:t>
      </w:r>
      <w:r w:rsidR="00754E5E">
        <w:rPr>
          <w:rFonts w:ascii="Times New Roman" w:hAnsi="Times New Roman"/>
          <w:sz w:val="20"/>
          <w:lang w:eastAsia="zh-CN"/>
        </w:rPr>
        <w:t>only extend</w:t>
      </w:r>
      <w:r>
        <w:rPr>
          <w:rFonts w:ascii="Times New Roman" w:hAnsi="Times New Roman"/>
          <w:sz w:val="20"/>
          <w:lang w:eastAsia="zh-CN"/>
        </w:rPr>
        <w:t>s</w:t>
      </w:r>
      <w:r w:rsidR="00F04509" w:rsidRPr="00F04509">
        <w:rPr>
          <w:rFonts w:ascii="Times New Roman" w:hAnsi="Times New Roman"/>
          <w:sz w:val="20"/>
          <w:lang w:eastAsia="zh-CN"/>
        </w:rPr>
        <w:t xml:space="preserve"> the height range but does not </w:t>
      </w:r>
      <w:r w:rsidR="00754E5E">
        <w:rPr>
          <w:rFonts w:ascii="Times New Roman" w:hAnsi="Times New Roman"/>
          <w:sz w:val="20"/>
          <w:lang w:eastAsia="zh-CN"/>
        </w:rPr>
        <w:t>serve to avoid ping-pong</w:t>
      </w:r>
      <w:r w:rsidR="00F04509" w:rsidRPr="00F04509">
        <w:rPr>
          <w:rFonts w:ascii="Times New Roman" w:hAnsi="Times New Roman"/>
          <w:sz w:val="20"/>
          <w:lang w:eastAsia="zh-CN"/>
        </w:rPr>
        <w:t>.</w:t>
      </w:r>
      <w:r w:rsidR="00F04509">
        <w:rPr>
          <w:rFonts w:ascii="Times New Roman" w:eastAsia="宋体" w:hAnsi="Times New Roman"/>
          <w:sz w:val="20"/>
          <w:lang w:eastAsia="zh-CN"/>
        </w:rPr>
        <w:t xml:space="preserve"> </w:t>
      </w:r>
      <w:r w:rsidR="006C75FC" w:rsidRPr="006C75FC">
        <w:rPr>
          <w:rFonts w:ascii="Times New Roman" w:hAnsi="Times New Roman"/>
          <w:sz w:val="20"/>
          <w:lang w:eastAsia="zh-CN"/>
        </w:rPr>
        <w:t>To address this issue</w:t>
      </w:r>
      <w:r w:rsidR="009B639E" w:rsidRPr="009B639E">
        <w:rPr>
          <w:rFonts w:ascii="Times New Roman" w:hAnsi="Times New Roman"/>
          <w:sz w:val="20"/>
          <w:lang w:eastAsia="zh-CN"/>
        </w:rPr>
        <w:t xml:space="preserve">, the entering and leaving </w:t>
      </w:r>
      <w:r w:rsidR="003415FE">
        <w:rPr>
          <w:rFonts w:ascii="Times New Roman" w:hAnsi="Times New Roman"/>
          <w:sz w:val="20"/>
          <w:lang w:eastAsia="zh-CN"/>
        </w:rPr>
        <w:t>conditions</w:t>
      </w:r>
      <w:r w:rsidR="00994154">
        <w:rPr>
          <w:rFonts w:ascii="Times New Roman" w:hAnsi="Times New Roman"/>
          <w:sz w:val="20"/>
          <w:lang w:eastAsia="zh-CN"/>
        </w:rPr>
        <w:t xml:space="preserve"> in</w:t>
      </w:r>
      <w:r w:rsidR="009B639E" w:rsidRPr="009B639E">
        <w:rPr>
          <w:rFonts w:ascii="Times New Roman" w:hAnsi="Times New Roman"/>
          <w:sz w:val="20"/>
          <w:lang w:eastAsia="zh-CN"/>
        </w:rPr>
        <w:t xml:space="preserve"> event H1 and H2 </w:t>
      </w:r>
      <w:r w:rsidR="009B639E">
        <w:rPr>
          <w:rFonts w:ascii="Times New Roman" w:hAnsi="Times New Roman"/>
          <w:sz w:val="20"/>
          <w:lang w:eastAsia="zh-CN"/>
        </w:rPr>
        <w:t>could</w:t>
      </w:r>
      <w:r w:rsidR="009B639E" w:rsidRPr="009B639E">
        <w:rPr>
          <w:rFonts w:ascii="Times New Roman" w:hAnsi="Times New Roman"/>
          <w:sz w:val="20"/>
          <w:lang w:eastAsia="zh-CN"/>
        </w:rPr>
        <w:t xml:space="preserve"> be reused. </w:t>
      </w:r>
      <w:r w:rsidR="00F04509" w:rsidRPr="00F04509">
        <w:rPr>
          <w:rFonts w:ascii="Times New Roman" w:hAnsi="Times New Roman"/>
          <w:sz w:val="20"/>
          <w:lang w:eastAsia="zh-CN"/>
        </w:rPr>
        <w:t xml:space="preserve">For example, </w:t>
      </w:r>
      <w:r w:rsidR="00F04509">
        <w:rPr>
          <w:rFonts w:ascii="Times New Roman" w:hAnsi="Times New Roman"/>
          <w:sz w:val="20"/>
          <w:lang w:eastAsia="zh-CN"/>
        </w:rPr>
        <w:t>it</w:t>
      </w:r>
      <w:r w:rsidR="00F04509" w:rsidRPr="00F04509">
        <w:rPr>
          <w:rFonts w:ascii="Times New Roman" w:hAnsi="Times New Roman"/>
          <w:sz w:val="20"/>
          <w:lang w:eastAsia="zh-CN"/>
        </w:rPr>
        <w:t xml:space="preserve"> can be described as</w:t>
      </w:r>
      <w:r w:rsidR="00F04509">
        <w:rPr>
          <w:rFonts w:ascii="Times New Roman" w:hAnsi="Times New Roman"/>
          <w:sz w:val="20"/>
          <w:lang w:eastAsia="zh-CN"/>
        </w:rPr>
        <w:t xml:space="preserve"> follows:</w:t>
      </w:r>
    </w:p>
    <w:p w14:paraId="1F3A5CB8" w14:textId="3910153A" w:rsidR="00F04509" w:rsidRPr="00F04509" w:rsidRDefault="00F04509" w:rsidP="00F04509">
      <w:pPr>
        <w:overflowPunct w:val="0"/>
        <w:autoSpaceDE w:val="0"/>
        <w:autoSpaceDN w:val="0"/>
        <w:adjustRightInd w:val="0"/>
        <w:spacing w:line="360" w:lineRule="auto"/>
        <w:ind w:leftChars="200" w:left="440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Entering condition:</w:t>
      </w:r>
      <w:r>
        <w:rPr>
          <w:rFonts w:ascii="Times New Roman" w:eastAsia="宋体" w:hAnsi="Times New Roman" w:hint="eastAsia"/>
          <w:sz w:val="20"/>
          <w:lang w:eastAsia="zh-CN"/>
        </w:rPr>
        <w:t xml:space="preserve"> </w:t>
      </w:r>
      <w:r>
        <w:rPr>
          <w:rFonts w:ascii="Times New Roman" w:eastAsia="宋体" w:hAnsi="Times New Roman"/>
          <w:sz w:val="20"/>
          <w:lang w:eastAsia="zh-CN"/>
        </w:rPr>
        <w:t xml:space="preserve"> UE</w:t>
      </w:r>
      <w:r w:rsidRPr="00F04509">
        <w:rPr>
          <w:rFonts w:ascii="Times New Roman" w:eastAsia="宋体" w:hAnsi="Times New Roman"/>
          <w:sz w:val="20"/>
          <w:lang w:eastAsia="zh-CN"/>
        </w:rPr>
        <w:t>height –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Pr="00F04509">
        <w:rPr>
          <w:rFonts w:ascii="Times New Roman" w:hAnsi="Times New Roman"/>
          <w:i/>
          <w:sz w:val="20"/>
          <w:lang w:eastAsia="zh-CN"/>
        </w:rPr>
        <w:t>heightHyst</w:t>
      </w:r>
      <w:r w:rsidRPr="00F04509">
        <w:rPr>
          <w:rFonts w:ascii="Times New Roman" w:eastAsia="宋体" w:hAnsi="Times New Roman"/>
          <w:sz w:val="20"/>
          <w:lang w:eastAsia="zh-CN"/>
        </w:rPr>
        <w:t xml:space="preserve"> &gt; ssb-ToMeasureThresh</w:t>
      </w:r>
    </w:p>
    <w:p w14:paraId="7A3DFE56" w14:textId="63557B81" w:rsidR="00F04509" w:rsidRPr="00F04509" w:rsidRDefault="00F04509" w:rsidP="00F04509">
      <w:pPr>
        <w:overflowPunct w:val="0"/>
        <w:autoSpaceDE w:val="0"/>
        <w:autoSpaceDN w:val="0"/>
        <w:adjustRightInd w:val="0"/>
        <w:spacing w:line="360" w:lineRule="auto"/>
        <w:ind w:leftChars="200" w:left="440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 xml:space="preserve">Leaving condition:  </w:t>
      </w:r>
      <w:r>
        <w:rPr>
          <w:rFonts w:ascii="Times New Roman" w:eastAsia="宋体" w:hAnsi="Times New Roman" w:hint="eastAsia"/>
          <w:sz w:val="20"/>
          <w:lang w:eastAsia="zh-CN"/>
        </w:rPr>
        <w:t xml:space="preserve"> </w:t>
      </w:r>
      <w:r w:rsidRPr="00F04509">
        <w:rPr>
          <w:rFonts w:ascii="Times New Roman" w:eastAsia="宋体" w:hAnsi="Times New Roman"/>
          <w:sz w:val="20"/>
          <w:lang w:eastAsia="zh-CN"/>
        </w:rPr>
        <w:t xml:space="preserve">UEheight + </w:t>
      </w:r>
      <w:r w:rsidRPr="00F04509">
        <w:rPr>
          <w:rFonts w:ascii="Times New Roman" w:hAnsi="Times New Roman"/>
          <w:i/>
          <w:sz w:val="20"/>
          <w:lang w:eastAsia="zh-CN"/>
        </w:rPr>
        <w:t>heightHyst</w:t>
      </w:r>
      <w:r w:rsidRPr="00F04509">
        <w:rPr>
          <w:rFonts w:ascii="Times New Roman" w:eastAsia="宋体" w:hAnsi="Times New Roman"/>
          <w:sz w:val="20"/>
          <w:lang w:eastAsia="zh-CN"/>
        </w:rPr>
        <w:t xml:space="preserve"> &lt; ssb-ToMeasureThresh</w:t>
      </w:r>
    </w:p>
    <w:p w14:paraId="5A69F1F7" w14:textId="44CAE54A" w:rsidR="009B639E" w:rsidRPr="009B639E" w:rsidRDefault="009B639E" w:rsidP="009B639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 w:val="20"/>
          <w:lang w:eastAsia="zh-CN"/>
        </w:rPr>
      </w:pPr>
      <w:r w:rsidRPr="00230D7C">
        <w:rPr>
          <w:rFonts w:eastAsia="宋体" w:cs="Calibri"/>
          <w:b/>
          <w:sz w:val="20"/>
          <w:lang w:eastAsia="zh-CN"/>
        </w:rPr>
        <w:t xml:space="preserve">Proposal </w:t>
      </w:r>
      <w:r>
        <w:rPr>
          <w:rFonts w:eastAsia="宋体" w:cs="Calibri"/>
          <w:b/>
          <w:sz w:val="20"/>
          <w:lang w:eastAsia="zh-CN"/>
        </w:rPr>
        <w:t>2:</w:t>
      </w:r>
      <w:r w:rsidRPr="00230D7C">
        <w:rPr>
          <w:rFonts w:eastAsia="宋体" w:cs="Calibri"/>
          <w:b/>
          <w:sz w:val="20"/>
          <w:lang w:eastAsia="zh-CN"/>
        </w:rPr>
        <w:t xml:space="preserve"> </w:t>
      </w:r>
      <w:r w:rsidRPr="009B639E">
        <w:rPr>
          <w:rFonts w:eastAsia="宋体" w:cs="Calibri"/>
          <w:b/>
          <w:sz w:val="20"/>
          <w:lang w:eastAsia="zh-CN"/>
        </w:rPr>
        <w:t xml:space="preserve">To reuse the entering and leaving </w:t>
      </w:r>
      <w:r w:rsidR="003D428D">
        <w:rPr>
          <w:rFonts w:eastAsia="宋体" w:cs="Calibri"/>
          <w:b/>
          <w:sz w:val="20"/>
          <w:lang w:eastAsia="zh-CN"/>
        </w:rPr>
        <w:t>conditions</w:t>
      </w:r>
      <w:r w:rsidRPr="009B639E">
        <w:rPr>
          <w:rFonts w:eastAsia="宋体" w:cs="Calibri"/>
          <w:b/>
          <w:sz w:val="20"/>
          <w:lang w:eastAsia="zh-CN"/>
        </w:rPr>
        <w:t xml:space="preserve"> </w:t>
      </w:r>
      <w:r w:rsidR="00754E5E">
        <w:rPr>
          <w:rFonts w:eastAsia="宋体" w:cs="Calibri"/>
          <w:b/>
          <w:sz w:val="20"/>
          <w:lang w:eastAsia="zh-CN"/>
        </w:rPr>
        <w:t>in</w:t>
      </w:r>
      <w:r w:rsidRPr="009B639E">
        <w:rPr>
          <w:rFonts w:eastAsia="宋体" w:cs="Calibri"/>
          <w:b/>
          <w:sz w:val="20"/>
          <w:lang w:eastAsia="zh-CN"/>
        </w:rPr>
        <w:t xml:space="preserve"> event H1 and H2.</w:t>
      </w:r>
    </w:p>
    <w:p w14:paraId="6BD92E1F" w14:textId="5C268345" w:rsidR="00E142B7" w:rsidRPr="00E142B7" w:rsidRDefault="000853DC" w:rsidP="00E142B7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b/>
          <w:sz w:val="20"/>
          <w:szCs w:val="20"/>
          <w:lang w:val="en-US" w:eastAsia="zh-CN"/>
        </w:rPr>
      </w:pPr>
      <w:r>
        <w:rPr>
          <w:b/>
          <w:sz w:val="20"/>
          <w:szCs w:val="20"/>
          <w:lang w:val="en-US" w:eastAsia="zh-CN"/>
        </w:rPr>
        <w:t>UE behavio</w:t>
      </w:r>
      <w:r w:rsidR="00E142B7" w:rsidRPr="00E142B7">
        <w:rPr>
          <w:b/>
          <w:sz w:val="20"/>
          <w:szCs w:val="20"/>
          <w:lang w:val="en-US" w:eastAsia="zh-CN"/>
        </w:rPr>
        <w:t xml:space="preserve">r when </w:t>
      </w:r>
      <w:r w:rsidR="00E142B7">
        <w:rPr>
          <w:b/>
          <w:sz w:val="20"/>
          <w:szCs w:val="20"/>
          <w:lang w:val="en-US" w:eastAsia="zh-CN"/>
        </w:rPr>
        <w:t>UE switches to a new</w:t>
      </w:r>
      <w:r w:rsidR="00E142B7" w:rsidRPr="00E142B7">
        <w:rPr>
          <w:b/>
          <w:sz w:val="20"/>
          <w:szCs w:val="20"/>
          <w:lang w:val="en-US" w:eastAsia="zh-CN"/>
        </w:rPr>
        <w:t xml:space="preserve"> altitude range </w:t>
      </w:r>
    </w:p>
    <w:p w14:paraId="4492E4AD" w14:textId="31B5EEC6" w:rsidR="00666BC1" w:rsidRPr="00666BC1" w:rsidRDefault="00666BC1" w:rsidP="00EB7C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 w:hint="eastAsia"/>
          <w:sz w:val="20"/>
          <w:lang w:eastAsia="zh-CN"/>
        </w:rPr>
      </w:pPr>
      <w:r>
        <w:rPr>
          <w:rFonts w:ascii="Times New Roman" w:hAnsi="Times New Roman"/>
          <w:sz w:val="20"/>
          <w:lang w:eastAsia="zh-CN"/>
        </w:rPr>
        <w:t>In RAN2#123bis meeting, RAN2</w:t>
      </w:r>
      <w:r w:rsidRPr="0014050A">
        <w:rPr>
          <w:rFonts w:ascii="Times New Roman" w:hAnsi="Times New Roman"/>
          <w:sz w:val="20"/>
          <w:lang w:eastAsia="zh-CN"/>
        </w:rPr>
        <w:t xml:space="preserve"> agreed that </w:t>
      </w:r>
      <w:r>
        <w:rPr>
          <w:rFonts w:ascii="Times New Roman" w:hAnsi="Times New Roman"/>
          <w:sz w:val="20"/>
          <w:lang w:eastAsia="zh-CN"/>
        </w:rPr>
        <w:t>i</w:t>
      </w:r>
      <w:r w:rsidRPr="003D428D">
        <w:rPr>
          <w:rFonts w:ascii="Times New Roman" w:hAnsi="Times New Roman"/>
          <w:sz w:val="20"/>
          <w:lang w:eastAsia="zh-CN"/>
        </w:rPr>
        <w:t>t is up to network implementation how to config</w:t>
      </w:r>
      <w:r>
        <w:rPr>
          <w:rFonts w:ascii="Times New Roman" w:hAnsi="Times New Roman"/>
          <w:sz w:val="20"/>
          <w:lang w:eastAsia="zh-CN"/>
        </w:rPr>
        <w:t>ure height range and hysteresis.</w:t>
      </w:r>
      <w:r w:rsidRPr="003D428D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 xml:space="preserve">However, </w:t>
      </w:r>
      <w:r w:rsidRPr="0014050A">
        <w:rPr>
          <w:rFonts w:ascii="Times New Roman" w:hAnsi="Times New Roman"/>
          <w:sz w:val="20"/>
          <w:lang w:eastAsia="zh-CN"/>
        </w:rPr>
        <w:t xml:space="preserve">the </w:t>
      </w:r>
      <w:r w:rsidRPr="003D428D">
        <w:rPr>
          <w:rFonts w:ascii="Times New Roman" w:hAnsi="Times New Roman"/>
          <w:sz w:val="20"/>
          <w:lang w:eastAsia="zh-CN"/>
        </w:rPr>
        <w:t>process</w:t>
      </w:r>
      <w:r w:rsidRPr="0014050A">
        <w:rPr>
          <w:rFonts w:ascii="Times New Roman" w:hAnsi="Times New Roman"/>
          <w:sz w:val="20"/>
          <w:lang w:eastAsia="zh-CN"/>
        </w:rPr>
        <w:t xml:space="preserve"> of transitioning between height ranges was not addressed.</w:t>
      </w:r>
    </w:p>
    <w:p w14:paraId="2CFA1B65" w14:textId="00C9B24D" w:rsidR="008613FF" w:rsidRPr="00EB7CE3" w:rsidRDefault="00376295" w:rsidP="00EB7C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376295">
        <w:rPr>
          <w:rFonts w:ascii="Times New Roman" w:hAnsi="Times New Roman"/>
          <w:sz w:val="20"/>
          <w:lang w:eastAsia="zh-CN"/>
        </w:rPr>
        <w:t>From our point of view,</w:t>
      </w:r>
      <w:r w:rsidR="00E142B7" w:rsidRPr="00E142B7">
        <w:rPr>
          <w:rFonts w:ascii="Times New Roman" w:hAnsi="Times New Roman"/>
          <w:sz w:val="20"/>
          <w:lang w:eastAsia="zh-CN"/>
        </w:rPr>
        <w:t xml:space="preserve"> when UE </w:t>
      </w:r>
      <w:r w:rsidR="0015297B" w:rsidRPr="0015297B">
        <w:rPr>
          <w:rFonts w:ascii="Times New Roman" w:hAnsi="Times New Roman"/>
          <w:sz w:val="20"/>
          <w:lang w:eastAsia="zh-CN"/>
        </w:rPr>
        <w:t>moves to a new height region</w:t>
      </w:r>
      <w:r w:rsidR="00E142B7" w:rsidRPr="00E142B7">
        <w:rPr>
          <w:rFonts w:ascii="Times New Roman" w:hAnsi="Times New Roman"/>
          <w:sz w:val="20"/>
          <w:lang w:eastAsia="zh-CN"/>
        </w:rPr>
        <w:t>,</w:t>
      </w:r>
      <w:r w:rsidR="00A67C4A" w:rsidRPr="00E142B7">
        <w:rPr>
          <w:rFonts w:ascii="Times New Roman" w:hAnsi="Times New Roman"/>
          <w:sz w:val="20"/>
          <w:lang w:eastAsia="zh-CN"/>
        </w:rPr>
        <w:t xml:space="preserve"> </w:t>
      </w:r>
      <w:r w:rsidR="00E142B7" w:rsidRPr="00E142B7">
        <w:rPr>
          <w:rFonts w:ascii="Times New Roman" w:hAnsi="Times New Roman"/>
          <w:sz w:val="20"/>
          <w:lang w:eastAsia="zh-CN"/>
        </w:rPr>
        <w:t>t</w:t>
      </w:r>
      <w:r w:rsidR="00A67C4A" w:rsidRPr="00E142B7">
        <w:rPr>
          <w:rFonts w:ascii="Times New Roman" w:hAnsi="Times New Roman"/>
          <w:sz w:val="20"/>
          <w:lang w:eastAsia="zh-CN"/>
        </w:rPr>
        <w:t xml:space="preserve">he UE </w:t>
      </w:r>
      <w:r w:rsidR="00E142B7">
        <w:rPr>
          <w:rFonts w:ascii="Times New Roman" w:hAnsi="Times New Roman"/>
          <w:sz w:val="20"/>
          <w:lang w:eastAsia="zh-CN"/>
        </w:rPr>
        <w:t>can</w:t>
      </w:r>
      <w:r w:rsidR="00A67C4A" w:rsidRPr="00E142B7">
        <w:rPr>
          <w:rFonts w:ascii="Times New Roman" w:hAnsi="Times New Roman"/>
          <w:sz w:val="20"/>
          <w:lang w:eastAsia="zh-CN"/>
        </w:rPr>
        <w:t xml:space="preserve"> ke</w:t>
      </w:r>
      <w:r w:rsidR="00E142B7">
        <w:rPr>
          <w:rFonts w:ascii="Times New Roman" w:hAnsi="Times New Roman"/>
          <w:sz w:val="20"/>
          <w:lang w:eastAsia="zh-CN"/>
        </w:rPr>
        <w:t>ep</w:t>
      </w:r>
      <w:r w:rsidR="00A67C4A" w:rsidRPr="00E142B7">
        <w:rPr>
          <w:rFonts w:ascii="Times New Roman" w:hAnsi="Times New Roman"/>
          <w:sz w:val="20"/>
          <w:lang w:eastAsia="zh-CN"/>
        </w:rPr>
        <w:t xml:space="preserve"> </w:t>
      </w:r>
      <w:r w:rsidR="00E142B7" w:rsidRPr="00E142B7">
        <w:rPr>
          <w:rFonts w:ascii="Times New Roman" w:hAnsi="Times New Roman"/>
          <w:sz w:val="20"/>
          <w:lang w:eastAsia="zh-CN"/>
        </w:rPr>
        <w:t>measurement samples</w:t>
      </w:r>
      <w:r w:rsidR="00A67C4A" w:rsidRPr="00E142B7">
        <w:rPr>
          <w:rFonts w:ascii="Times New Roman" w:hAnsi="Times New Roman"/>
          <w:sz w:val="20"/>
          <w:lang w:eastAsia="zh-CN"/>
        </w:rPr>
        <w:t xml:space="preserve">. The height range in </w:t>
      </w:r>
      <w:r w:rsidR="00EB7CE3">
        <w:rPr>
          <w:rFonts w:ascii="Times New Roman" w:hAnsi="Times New Roman"/>
          <w:sz w:val="20"/>
          <w:lang w:eastAsia="zh-CN"/>
        </w:rPr>
        <w:t>event</w:t>
      </w:r>
      <w:r w:rsidR="00EB7CE3" w:rsidRPr="00E142B7">
        <w:rPr>
          <w:rFonts w:ascii="Times New Roman" w:hAnsi="Times New Roman"/>
          <w:sz w:val="20"/>
          <w:lang w:eastAsia="zh-CN"/>
        </w:rPr>
        <w:t xml:space="preserve"> </w:t>
      </w:r>
      <w:r w:rsidR="00A67C4A" w:rsidRPr="00E142B7">
        <w:rPr>
          <w:rFonts w:ascii="Times New Roman" w:hAnsi="Times New Roman"/>
          <w:sz w:val="20"/>
          <w:lang w:eastAsia="zh-CN"/>
        </w:rPr>
        <w:t xml:space="preserve">AxHy is </w:t>
      </w:r>
      <w:r w:rsidR="00EB7CE3">
        <w:rPr>
          <w:rFonts w:ascii="Times New Roman" w:hAnsi="Times New Roman"/>
          <w:sz w:val="20"/>
          <w:lang w:eastAsia="zh-CN"/>
        </w:rPr>
        <w:t xml:space="preserve">used </w:t>
      </w:r>
      <w:r w:rsidR="00A67C4A" w:rsidRPr="00E142B7">
        <w:rPr>
          <w:rFonts w:ascii="Times New Roman" w:hAnsi="Times New Roman"/>
          <w:sz w:val="20"/>
          <w:lang w:eastAsia="zh-CN"/>
        </w:rPr>
        <w:t xml:space="preserve">for </w:t>
      </w:r>
      <w:r w:rsidR="00EB7CE3">
        <w:rPr>
          <w:rFonts w:ascii="Times New Roman" w:hAnsi="Times New Roman"/>
          <w:sz w:val="20"/>
          <w:lang w:eastAsia="zh-CN"/>
        </w:rPr>
        <w:t>measurement reporting.</w:t>
      </w:r>
      <w:r w:rsidR="00A67C4A" w:rsidRPr="00E142B7">
        <w:rPr>
          <w:rFonts w:ascii="Times New Roman" w:hAnsi="Times New Roman"/>
          <w:sz w:val="20"/>
          <w:lang w:eastAsia="zh-CN"/>
        </w:rPr>
        <w:t xml:space="preserve"> </w:t>
      </w:r>
      <w:r w:rsidR="00EB7CE3">
        <w:rPr>
          <w:rFonts w:ascii="Times New Roman" w:hAnsi="Times New Roman"/>
          <w:sz w:val="20"/>
          <w:lang w:eastAsia="zh-CN"/>
        </w:rPr>
        <w:t>S</w:t>
      </w:r>
      <w:r w:rsidR="00EB7CE3" w:rsidRPr="00EB7CE3">
        <w:rPr>
          <w:rFonts w:ascii="Times New Roman" w:hAnsi="Times New Roman"/>
          <w:sz w:val="20"/>
          <w:lang w:eastAsia="zh-CN"/>
        </w:rPr>
        <w:t xml:space="preserve">pecifically, the UE </w:t>
      </w:r>
      <w:r w:rsidR="00EB7CE3">
        <w:rPr>
          <w:rFonts w:ascii="Times New Roman" w:hAnsi="Times New Roman"/>
          <w:sz w:val="20"/>
          <w:lang w:eastAsia="zh-CN"/>
        </w:rPr>
        <w:t xml:space="preserve">will </w:t>
      </w:r>
      <w:r w:rsidR="003415FE">
        <w:rPr>
          <w:rFonts w:ascii="Times New Roman" w:hAnsi="Times New Roman"/>
          <w:sz w:val="20"/>
          <w:lang w:eastAsia="zh-CN"/>
        </w:rPr>
        <w:t>create</w:t>
      </w:r>
      <w:r w:rsidR="00EB7CE3" w:rsidRPr="00EB7CE3">
        <w:rPr>
          <w:rFonts w:ascii="Times New Roman" w:hAnsi="Times New Roman"/>
          <w:sz w:val="20"/>
          <w:lang w:eastAsia="zh-CN"/>
        </w:rPr>
        <w:t xml:space="preserve"> a new </w:t>
      </w:r>
      <w:r w:rsidR="00EB7CE3" w:rsidRPr="00EB7CE3">
        <w:rPr>
          <w:rFonts w:ascii="Times New Roman" w:hAnsi="Times New Roman"/>
          <w:b/>
          <w:i/>
          <w:sz w:val="20"/>
          <w:lang w:eastAsia="zh-CN"/>
        </w:rPr>
        <w:t>cellTriggeredList</w:t>
      </w:r>
      <w:r w:rsidR="00EB7CE3" w:rsidRPr="00EB7CE3">
        <w:rPr>
          <w:rFonts w:ascii="Times New Roman" w:hAnsi="Times New Roman"/>
          <w:sz w:val="20"/>
          <w:lang w:eastAsia="zh-CN"/>
        </w:rPr>
        <w:t xml:space="preserve"> once </w:t>
      </w:r>
      <w:r w:rsidR="00EB7CE3">
        <w:rPr>
          <w:rFonts w:ascii="Times New Roman" w:hAnsi="Times New Roman"/>
          <w:sz w:val="20"/>
          <w:lang w:eastAsia="zh-CN"/>
        </w:rPr>
        <w:t>it</w:t>
      </w:r>
      <w:r w:rsidR="00EB7CE3" w:rsidRPr="00EB7CE3">
        <w:rPr>
          <w:rFonts w:ascii="Times New Roman" w:hAnsi="Times New Roman"/>
          <w:sz w:val="20"/>
          <w:lang w:eastAsia="zh-CN"/>
        </w:rPr>
        <w:t xml:space="preserve"> moves above the height range threshold H</w:t>
      </w:r>
      <w:r w:rsidR="00EB7CE3">
        <w:rPr>
          <w:rFonts w:ascii="Times New Roman" w:hAnsi="Times New Roman"/>
          <w:sz w:val="20"/>
          <w:lang w:eastAsia="zh-CN"/>
        </w:rPr>
        <w:t>x</w:t>
      </w:r>
      <w:r w:rsidR="00EB7CE3" w:rsidRPr="00EB7CE3">
        <w:rPr>
          <w:rFonts w:ascii="Times New Roman" w:hAnsi="Times New Roman"/>
          <w:sz w:val="20"/>
          <w:lang w:eastAsia="zh-CN"/>
        </w:rPr>
        <w:t xml:space="preserve">. </w:t>
      </w:r>
      <w:r w:rsidR="00EB7CE3">
        <w:rPr>
          <w:rFonts w:ascii="Times New Roman" w:hAnsi="Times New Roman"/>
          <w:sz w:val="20"/>
          <w:lang w:eastAsia="zh-CN"/>
        </w:rPr>
        <w:t>E</w:t>
      </w:r>
      <w:r w:rsidR="00EB7CE3" w:rsidRPr="00EB7CE3">
        <w:rPr>
          <w:rFonts w:ascii="Times New Roman" w:hAnsi="Times New Roman"/>
          <w:sz w:val="20"/>
          <w:lang w:eastAsia="zh-CN"/>
        </w:rPr>
        <w:t>ach event</w:t>
      </w:r>
      <w:r w:rsidR="00EB7CE3">
        <w:rPr>
          <w:rFonts w:ascii="Times New Roman" w:hAnsi="Times New Roman"/>
          <w:sz w:val="20"/>
          <w:lang w:eastAsia="zh-CN"/>
        </w:rPr>
        <w:t xml:space="preserve"> </w:t>
      </w:r>
      <w:r w:rsidR="00EB7CE3" w:rsidRPr="00EB7CE3">
        <w:rPr>
          <w:rFonts w:ascii="Times New Roman" w:hAnsi="Times New Roman"/>
          <w:sz w:val="20"/>
          <w:lang w:eastAsia="zh-CN"/>
        </w:rPr>
        <w:t xml:space="preserve">AxHy </w:t>
      </w:r>
      <w:r w:rsidR="00EB7CE3">
        <w:rPr>
          <w:rFonts w:ascii="Times New Roman" w:hAnsi="Times New Roman"/>
          <w:sz w:val="20"/>
          <w:lang w:eastAsia="zh-CN"/>
        </w:rPr>
        <w:t>has</w:t>
      </w:r>
      <w:r w:rsidR="00EB7CE3" w:rsidRPr="00EB7CE3">
        <w:rPr>
          <w:rFonts w:ascii="Times New Roman" w:hAnsi="Times New Roman"/>
          <w:sz w:val="20"/>
          <w:lang w:eastAsia="zh-CN"/>
        </w:rPr>
        <w:t xml:space="preserve"> a corresponding </w:t>
      </w:r>
      <w:r w:rsidR="00EB7CE3" w:rsidRPr="00EB7CE3">
        <w:rPr>
          <w:rFonts w:ascii="Times New Roman" w:hAnsi="Times New Roman"/>
          <w:b/>
          <w:i/>
          <w:sz w:val="20"/>
          <w:lang w:eastAsia="zh-CN"/>
        </w:rPr>
        <w:t>cellsTriggeredList</w:t>
      </w:r>
      <w:r w:rsidR="00943D31">
        <w:rPr>
          <w:rFonts w:ascii="Times New Roman" w:hAnsi="Times New Roman"/>
          <w:sz w:val="20"/>
          <w:lang w:eastAsia="zh-CN"/>
        </w:rPr>
        <w:t xml:space="preserve">. And </w:t>
      </w:r>
      <w:r w:rsidR="008613FF" w:rsidRPr="00EB7CE3">
        <w:rPr>
          <w:rFonts w:ascii="Times New Roman" w:hAnsi="Times New Roman"/>
          <w:b/>
          <w:i/>
          <w:sz w:val="20"/>
          <w:lang w:eastAsia="zh-CN"/>
        </w:rPr>
        <w:t>cellsTriggeredList</w:t>
      </w:r>
      <w:r w:rsidR="008613FF" w:rsidRPr="00EB7CE3">
        <w:rPr>
          <w:rFonts w:ascii="Times New Roman" w:hAnsi="Times New Roman"/>
          <w:sz w:val="20"/>
          <w:lang w:eastAsia="zh-CN"/>
        </w:rPr>
        <w:t xml:space="preserve"> is updated for each </w:t>
      </w:r>
      <w:r w:rsidR="00EB7CE3" w:rsidRPr="00EB7CE3">
        <w:rPr>
          <w:rFonts w:ascii="Times New Roman" w:hAnsi="Times New Roman"/>
          <w:i/>
          <w:sz w:val="20"/>
          <w:lang w:eastAsia="zh-CN"/>
        </w:rPr>
        <w:t>measId</w:t>
      </w:r>
      <w:r w:rsidR="008613FF" w:rsidRPr="00EB7CE3">
        <w:rPr>
          <w:rFonts w:ascii="Times New Roman" w:hAnsi="Times New Roman"/>
          <w:sz w:val="20"/>
          <w:lang w:eastAsia="zh-CN"/>
        </w:rPr>
        <w:t xml:space="preserve"> which links one event. When the UE leaves the height range of one event</w:t>
      </w:r>
      <w:r w:rsidR="006C75FC">
        <w:rPr>
          <w:rFonts w:ascii="Times New Roman" w:hAnsi="Times New Roman"/>
          <w:sz w:val="20"/>
          <w:lang w:eastAsia="zh-CN"/>
        </w:rPr>
        <w:t xml:space="preserve"> </w:t>
      </w:r>
      <w:r w:rsidR="008613FF" w:rsidRPr="00EB7CE3">
        <w:rPr>
          <w:rFonts w:ascii="Times New Roman" w:hAnsi="Times New Roman"/>
          <w:sz w:val="20"/>
          <w:lang w:eastAsia="zh-CN"/>
        </w:rPr>
        <w:t xml:space="preserve">AxHy, the UE will not update the corresponding </w:t>
      </w:r>
      <w:r w:rsidR="008613FF" w:rsidRPr="006C75FC">
        <w:rPr>
          <w:rFonts w:ascii="Times New Roman" w:hAnsi="Times New Roman"/>
          <w:b/>
          <w:i/>
          <w:sz w:val="20"/>
          <w:lang w:eastAsia="zh-CN"/>
        </w:rPr>
        <w:t>cellsTriggeredList</w:t>
      </w:r>
      <w:r w:rsidR="008613FF" w:rsidRPr="00EB7CE3">
        <w:rPr>
          <w:rFonts w:ascii="Times New Roman" w:hAnsi="Times New Roman"/>
          <w:sz w:val="20"/>
          <w:lang w:eastAsia="zh-CN"/>
        </w:rPr>
        <w:t xml:space="preserve">. The UE only updates </w:t>
      </w:r>
      <w:r w:rsidR="008613FF" w:rsidRPr="006C75FC">
        <w:rPr>
          <w:rFonts w:ascii="Times New Roman" w:hAnsi="Times New Roman"/>
          <w:b/>
          <w:i/>
          <w:sz w:val="20"/>
          <w:lang w:eastAsia="zh-CN"/>
        </w:rPr>
        <w:t>cellsTriggeredList</w:t>
      </w:r>
      <w:r w:rsidR="008613FF" w:rsidRPr="00EB7CE3">
        <w:rPr>
          <w:rFonts w:ascii="Times New Roman" w:hAnsi="Times New Roman"/>
          <w:sz w:val="20"/>
          <w:lang w:eastAsia="zh-CN"/>
        </w:rPr>
        <w:t xml:space="preserve"> for AxHy when the UE keeps in the height range of event</w:t>
      </w:r>
      <w:r w:rsidR="006C75FC">
        <w:rPr>
          <w:rFonts w:ascii="Times New Roman" w:hAnsi="Times New Roman"/>
          <w:sz w:val="20"/>
          <w:lang w:eastAsia="zh-CN"/>
        </w:rPr>
        <w:t xml:space="preserve"> </w:t>
      </w:r>
      <w:r w:rsidR="008613FF" w:rsidRPr="00EB7CE3">
        <w:rPr>
          <w:rFonts w:ascii="Times New Roman" w:hAnsi="Times New Roman"/>
          <w:sz w:val="20"/>
          <w:lang w:eastAsia="zh-CN"/>
        </w:rPr>
        <w:t>AxHy</w:t>
      </w:r>
      <w:r w:rsidR="00943D31">
        <w:rPr>
          <w:rFonts w:ascii="Times New Roman" w:hAnsi="Times New Roman"/>
          <w:sz w:val="20"/>
          <w:lang w:eastAsia="zh-CN"/>
        </w:rPr>
        <w:t>.</w:t>
      </w:r>
      <w:r w:rsidR="008613FF" w:rsidRPr="00EB7CE3">
        <w:rPr>
          <w:rFonts w:ascii="Times New Roman" w:hAnsi="Times New Roman"/>
          <w:sz w:val="20"/>
          <w:lang w:eastAsia="zh-CN"/>
        </w:rPr>
        <w:t xml:space="preserve"> </w:t>
      </w:r>
      <w:r w:rsidR="002C020E" w:rsidRPr="00943D31">
        <w:rPr>
          <w:rFonts w:ascii="Times New Roman" w:hAnsi="Times New Roman"/>
          <w:sz w:val="20"/>
          <w:lang w:eastAsia="zh-CN"/>
        </w:rPr>
        <w:t>Therefore,</w:t>
      </w:r>
      <w:r w:rsidR="002C020E">
        <w:rPr>
          <w:rFonts w:ascii="Times New Roman" w:hAnsi="Times New Roman"/>
          <w:sz w:val="20"/>
          <w:lang w:eastAsia="zh-CN"/>
        </w:rPr>
        <w:t xml:space="preserve"> n</w:t>
      </w:r>
      <w:r w:rsidR="002C020E" w:rsidRPr="002C020E">
        <w:rPr>
          <w:rFonts w:ascii="Times New Roman" w:hAnsi="Times New Roman"/>
          <w:sz w:val="20"/>
          <w:lang w:eastAsia="zh-CN"/>
        </w:rPr>
        <w:t>o spec change is needed.</w:t>
      </w:r>
    </w:p>
    <w:p w14:paraId="1F82F4FA" w14:textId="1906F970" w:rsidR="008613FF" w:rsidRPr="00943D31" w:rsidRDefault="008613FF" w:rsidP="00943D3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943D31">
        <w:rPr>
          <w:rFonts w:ascii="Times New Roman" w:hAnsi="Times New Roman"/>
          <w:sz w:val="20"/>
          <w:lang w:eastAsia="zh-CN"/>
        </w:rPr>
        <w:t>When UE is moving inside H1 or H2, UE performs measurement</w:t>
      </w:r>
      <w:r w:rsidR="00943D31">
        <w:rPr>
          <w:rFonts w:ascii="Times New Roman" w:hAnsi="Times New Roman"/>
          <w:sz w:val="20"/>
          <w:lang w:eastAsia="zh-CN"/>
        </w:rPr>
        <w:t xml:space="preserve"> on different beams</w:t>
      </w:r>
      <w:r w:rsidRPr="00943D31">
        <w:rPr>
          <w:rFonts w:ascii="Times New Roman" w:hAnsi="Times New Roman"/>
          <w:sz w:val="20"/>
          <w:lang w:eastAsia="zh-CN"/>
        </w:rPr>
        <w:t xml:space="preserve"> according to different </w:t>
      </w:r>
      <w:r w:rsidR="00943D31" w:rsidRPr="00943D31">
        <w:rPr>
          <w:rFonts w:ascii="Times New Roman" w:hAnsi="Times New Roman"/>
          <w:b/>
          <w:i/>
          <w:sz w:val="20"/>
          <w:lang w:eastAsia="zh-CN"/>
        </w:rPr>
        <w:t>SSB-ToMeasure</w:t>
      </w:r>
      <w:r w:rsidRPr="00943D31">
        <w:rPr>
          <w:rFonts w:ascii="Times New Roman" w:hAnsi="Times New Roman"/>
          <w:sz w:val="20"/>
          <w:lang w:eastAsia="zh-CN"/>
        </w:rPr>
        <w:t xml:space="preserve"> configurations inside H1 or H2.</w:t>
      </w:r>
      <w:r w:rsidR="00943D31" w:rsidRPr="00943D31">
        <w:rPr>
          <w:rFonts w:ascii="Times New Roman" w:hAnsi="Times New Roman"/>
          <w:sz w:val="20"/>
          <w:lang w:eastAsia="zh-CN"/>
        </w:rPr>
        <w:t xml:space="preserve"> In legacy UE operation, UE may not find all beams in the </w:t>
      </w:r>
      <w:r w:rsidR="00943D31" w:rsidRPr="00943D31">
        <w:rPr>
          <w:rFonts w:ascii="Times New Roman" w:hAnsi="Times New Roman"/>
          <w:b/>
          <w:i/>
          <w:sz w:val="20"/>
          <w:lang w:eastAsia="zh-CN"/>
        </w:rPr>
        <w:t>SSB-ToMeasure</w:t>
      </w:r>
      <w:r w:rsidR="00943D31" w:rsidRPr="00943D31">
        <w:rPr>
          <w:rFonts w:ascii="Times New Roman" w:hAnsi="Times New Roman"/>
          <w:sz w:val="20"/>
          <w:lang w:eastAsia="zh-CN"/>
        </w:rPr>
        <w:t>. Therefore, there is no difference from legacy.</w:t>
      </w:r>
    </w:p>
    <w:p w14:paraId="732D53F0" w14:textId="58DCAF1B" w:rsidR="008613FF" w:rsidRPr="00B10274" w:rsidRDefault="008613FF" w:rsidP="00B1027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 w:val="20"/>
          <w:lang w:eastAsia="zh-CN"/>
        </w:rPr>
      </w:pPr>
      <w:r w:rsidRPr="00B10274">
        <w:rPr>
          <w:rFonts w:eastAsia="宋体" w:cs="Calibri"/>
          <w:b/>
          <w:sz w:val="20"/>
          <w:lang w:eastAsia="zh-CN"/>
        </w:rPr>
        <w:t xml:space="preserve">Proposal </w:t>
      </w:r>
      <w:r w:rsidR="00B10274" w:rsidRPr="00B10274">
        <w:rPr>
          <w:rFonts w:eastAsia="宋体" w:cs="Calibri"/>
          <w:b/>
          <w:sz w:val="20"/>
          <w:lang w:eastAsia="zh-CN"/>
        </w:rPr>
        <w:t>3</w:t>
      </w:r>
      <w:r w:rsidRPr="00B10274">
        <w:rPr>
          <w:rFonts w:eastAsia="宋体" w:cs="Calibri"/>
          <w:b/>
          <w:sz w:val="20"/>
          <w:lang w:eastAsia="zh-CN"/>
        </w:rPr>
        <w:t xml:space="preserve">: </w:t>
      </w:r>
      <w:r w:rsidR="00943D31" w:rsidRPr="00B10274">
        <w:rPr>
          <w:rFonts w:eastAsia="宋体" w:cs="Calibri"/>
          <w:b/>
          <w:sz w:val="20"/>
          <w:lang w:eastAsia="zh-CN"/>
        </w:rPr>
        <w:t xml:space="preserve">There is no spec impact on UE behavior </w:t>
      </w:r>
      <w:r w:rsidR="00A67C4A" w:rsidRPr="00B10274">
        <w:rPr>
          <w:rFonts w:eastAsia="宋体" w:cs="Calibri"/>
          <w:b/>
          <w:sz w:val="20"/>
          <w:lang w:eastAsia="zh-CN"/>
        </w:rPr>
        <w:t>when</w:t>
      </w:r>
      <w:r w:rsidRPr="00B10274">
        <w:rPr>
          <w:rFonts w:eastAsia="宋体" w:cs="Calibri"/>
          <w:b/>
          <w:sz w:val="20"/>
          <w:lang w:eastAsia="zh-CN"/>
        </w:rPr>
        <w:t xml:space="preserve"> </w:t>
      </w:r>
      <w:r w:rsidR="003415FE">
        <w:rPr>
          <w:rFonts w:eastAsia="宋体" w:cs="Calibri"/>
          <w:b/>
          <w:sz w:val="20"/>
          <w:lang w:eastAsia="zh-CN"/>
        </w:rPr>
        <w:t xml:space="preserve">the </w:t>
      </w:r>
      <w:r w:rsidR="00A67C4A" w:rsidRPr="00B10274">
        <w:rPr>
          <w:rFonts w:eastAsia="宋体" w:cs="Calibri"/>
          <w:b/>
          <w:sz w:val="20"/>
          <w:lang w:eastAsia="zh-CN"/>
        </w:rPr>
        <w:t xml:space="preserve">cell list is already clear when it switches to a new height range in either </w:t>
      </w:r>
      <w:r w:rsidR="00943D31" w:rsidRPr="00B10274">
        <w:rPr>
          <w:rFonts w:eastAsia="宋体" w:cs="Calibri"/>
          <w:b/>
          <w:sz w:val="20"/>
          <w:lang w:eastAsia="zh-CN"/>
        </w:rPr>
        <w:t xml:space="preserve">event AxHy </w:t>
      </w:r>
      <w:r w:rsidR="00A67C4A" w:rsidRPr="00B10274">
        <w:rPr>
          <w:rFonts w:eastAsia="宋体" w:cs="Calibri"/>
          <w:b/>
          <w:sz w:val="20"/>
          <w:lang w:eastAsia="zh-CN"/>
        </w:rPr>
        <w:t xml:space="preserve">or </w:t>
      </w:r>
      <w:r w:rsidR="00943D31" w:rsidRPr="00B10274">
        <w:rPr>
          <w:rFonts w:eastAsia="宋体" w:cs="Calibri"/>
          <w:b/>
          <w:sz w:val="20"/>
          <w:lang w:eastAsia="zh-CN"/>
        </w:rPr>
        <w:t>SSB-ToMeasure.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 w:eastAsia="zh-CN"/>
        </w:rPr>
        <w:tab/>
      </w:r>
      <w:r w:rsidRPr="005C66B9">
        <w:rPr>
          <w:rFonts w:eastAsia="宋体"/>
          <w:lang w:val="en-US"/>
        </w:rPr>
        <w:t>Conclusions</w:t>
      </w:r>
    </w:p>
    <w:p w14:paraId="200FC3FD" w14:textId="5B3F3E72" w:rsidR="007464B9" w:rsidRPr="001928AD" w:rsidRDefault="007464B9" w:rsidP="00907149">
      <w:pPr>
        <w:spacing w:line="360" w:lineRule="auto"/>
        <w:jc w:val="both"/>
        <w:rPr>
          <w:rFonts w:ascii="Times New Roman" w:hAnsi="Times New Roman"/>
          <w:sz w:val="20"/>
          <w:lang w:eastAsia="zh-CN"/>
        </w:rPr>
      </w:pPr>
      <w:r w:rsidRPr="001928AD">
        <w:rPr>
          <w:rFonts w:ascii="Times New Roman" w:hAnsi="Times New Roman"/>
          <w:sz w:val="20"/>
          <w:lang w:eastAsia="zh-CN"/>
        </w:rPr>
        <w:t xml:space="preserve">Based on the above analysis, we have the following </w:t>
      </w:r>
      <w:r w:rsidR="006A3614">
        <w:rPr>
          <w:rFonts w:ascii="Times New Roman" w:hAnsi="Times New Roman"/>
          <w:sz w:val="20"/>
          <w:lang w:eastAsia="zh-CN"/>
        </w:rPr>
        <w:t>observations</w:t>
      </w:r>
      <w:r w:rsidRPr="001928AD">
        <w:rPr>
          <w:rFonts w:ascii="Times New Roman" w:hAnsi="Times New Roman"/>
          <w:sz w:val="20"/>
          <w:lang w:eastAsia="zh-CN"/>
        </w:rPr>
        <w:t xml:space="preserve"> and proposals:</w:t>
      </w:r>
    </w:p>
    <w:p w14:paraId="34921E9C" w14:textId="77777777" w:rsidR="00666BC1" w:rsidRPr="009B639E" w:rsidRDefault="00666BC1" w:rsidP="00666BC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 w:val="20"/>
          <w:lang w:eastAsia="zh-CN"/>
        </w:rPr>
      </w:pPr>
      <w:r w:rsidRPr="00230D7C">
        <w:rPr>
          <w:rFonts w:eastAsia="宋体" w:cs="Calibri"/>
          <w:b/>
          <w:sz w:val="20"/>
          <w:lang w:eastAsia="zh-CN"/>
        </w:rPr>
        <w:t xml:space="preserve">Proposal </w:t>
      </w:r>
      <w:r>
        <w:rPr>
          <w:rFonts w:eastAsia="宋体" w:cs="Calibri"/>
          <w:b/>
          <w:sz w:val="20"/>
          <w:lang w:eastAsia="zh-CN"/>
        </w:rPr>
        <w:t>1</w:t>
      </w:r>
      <w:r w:rsidRPr="00230D7C">
        <w:rPr>
          <w:rFonts w:eastAsia="宋体" w:cs="Calibri"/>
          <w:b/>
          <w:sz w:val="20"/>
          <w:lang w:eastAsia="zh-CN"/>
        </w:rPr>
        <w:t xml:space="preserve">:  </w:t>
      </w:r>
      <w:r>
        <w:rPr>
          <w:rFonts w:eastAsia="宋体" w:cs="Calibri"/>
          <w:b/>
          <w:sz w:val="20"/>
          <w:lang w:eastAsia="zh-CN"/>
        </w:rPr>
        <w:t>T</w:t>
      </w:r>
      <w:r w:rsidRPr="00230D7C">
        <w:rPr>
          <w:rFonts w:eastAsia="宋体" w:cs="Calibri"/>
          <w:b/>
          <w:sz w:val="20"/>
          <w:lang w:eastAsia="zh-CN"/>
        </w:rPr>
        <w:t>o configure the height-based list of SSB-ToMeasure</w:t>
      </w:r>
      <w:r>
        <w:rPr>
          <w:rFonts w:eastAsia="宋体" w:cs="Calibri"/>
          <w:b/>
          <w:sz w:val="20"/>
          <w:lang w:eastAsia="zh-CN"/>
        </w:rPr>
        <w:t xml:space="preserve"> within </w:t>
      </w:r>
      <w:r w:rsidRPr="00230D7C">
        <w:rPr>
          <w:rFonts w:eastAsia="宋体" w:cs="Calibri"/>
          <w:b/>
          <w:sz w:val="20"/>
          <w:lang w:eastAsia="zh-CN"/>
        </w:rPr>
        <w:t>ToAddModList/ToRemoveList structure.</w:t>
      </w:r>
    </w:p>
    <w:p w14:paraId="5EC28A69" w14:textId="77777777" w:rsidR="00666BC1" w:rsidRPr="009B639E" w:rsidRDefault="00666BC1" w:rsidP="00666BC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 w:val="20"/>
          <w:lang w:eastAsia="zh-CN"/>
        </w:rPr>
      </w:pPr>
      <w:r w:rsidRPr="00230D7C">
        <w:rPr>
          <w:rFonts w:eastAsia="宋体" w:cs="Calibri"/>
          <w:b/>
          <w:sz w:val="20"/>
          <w:lang w:eastAsia="zh-CN"/>
        </w:rPr>
        <w:t xml:space="preserve">Proposal </w:t>
      </w:r>
      <w:r>
        <w:rPr>
          <w:rFonts w:eastAsia="宋体" w:cs="Calibri"/>
          <w:b/>
          <w:sz w:val="20"/>
          <w:lang w:eastAsia="zh-CN"/>
        </w:rPr>
        <w:t>2:</w:t>
      </w:r>
      <w:r w:rsidRPr="00230D7C">
        <w:rPr>
          <w:rFonts w:eastAsia="宋体" w:cs="Calibri"/>
          <w:b/>
          <w:sz w:val="20"/>
          <w:lang w:eastAsia="zh-CN"/>
        </w:rPr>
        <w:t xml:space="preserve"> </w:t>
      </w:r>
      <w:r w:rsidRPr="009B639E">
        <w:rPr>
          <w:rFonts w:eastAsia="宋体" w:cs="Calibri"/>
          <w:b/>
          <w:sz w:val="20"/>
          <w:lang w:eastAsia="zh-CN"/>
        </w:rPr>
        <w:t xml:space="preserve">To reuse the entering and leaving </w:t>
      </w:r>
      <w:r>
        <w:rPr>
          <w:rFonts w:eastAsia="宋体" w:cs="Calibri"/>
          <w:b/>
          <w:sz w:val="20"/>
          <w:lang w:eastAsia="zh-CN"/>
        </w:rPr>
        <w:t>conditions</w:t>
      </w:r>
      <w:r w:rsidRPr="009B639E">
        <w:rPr>
          <w:rFonts w:eastAsia="宋体" w:cs="Calibri"/>
          <w:b/>
          <w:sz w:val="20"/>
          <w:lang w:eastAsia="zh-CN"/>
        </w:rPr>
        <w:t xml:space="preserve"> </w:t>
      </w:r>
      <w:r>
        <w:rPr>
          <w:rFonts w:eastAsia="宋体" w:cs="Calibri"/>
          <w:b/>
          <w:sz w:val="20"/>
          <w:lang w:eastAsia="zh-CN"/>
        </w:rPr>
        <w:t>in</w:t>
      </w:r>
      <w:r w:rsidRPr="009B639E">
        <w:rPr>
          <w:rFonts w:eastAsia="宋体" w:cs="Calibri"/>
          <w:b/>
          <w:sz w:val="20"/>
          <w:lang w:eastAsia="zh-CN"/>
        </w:rPr>
        <w:t xml:space="preserve"> event H1 and H2.</w:t>
      </w:r>
    </w:p>
    <w:p w14:paraId="1A29D4B4" w14:textId="2536817E" w:rsidR="00977F45" w:rsidRPr="009B639E" w:rsidRDefault="00977F45" w:rsidP="009B639E">
      <w:pPr>
        <w:pStyle w:val="aa"/>
        <w:spacing w:before="120" w:after="180"/>
        <w:rPr>
          <w:rFonts w:eastAsia="宋体"/>
          <w:b/>
          <w:sz w:val="20"/>
          <w:lang w:eastAsia="zh-CN"/>
        </w:rPr>
      </w:pPr>
      <w:r w:rsidRPr="00917B0D">
        <w:rPr>
          <w:rFonts w:eastAsia="宋体" w:hint="eastAsia"/>
          <w:b/>
          <w:sz w:val="20"/>
          <w:lang w:eastAsia="zh-CN"/>
        </w:rPr>
        <w:t>Proposal</w:t>
      </w:r>
      <w:r w:rsidRPr="00917B0D">
        <w:rPr>
          <w:rFonts w:eastAsia="宋体"/>
          <w:b/>
          <w:sz w:val="20"/>
          <w:lang w:eastAsia="zh-CN"/>
        </w:rPr>
        <w:t xml:space="preserve"> </w:t>
      </w:r>
      <w:r w:rsidR="009B639E">
        <w:rPr>
          <w:rFonts w:eastAsia="宋体"/>
          <w:b/>
          <w:sz w:val="20"/>
          <w:lang w:eastAsia="zh-CN"/>
        </w:rPr>
        <w:t>3</w:t>
      </w:r>
      <w:r w:rsidRPr="00917B0D">
        <w:rPr>
          <w:rFonts w:eastAsia="宋体" w:hint="eastAsia"/>
          <w:b/>
          <w:sz w:val="20"/>
          <w:lang w:eastAsia="zh-CN"/>
        </w:rPr>
        <w:t>:</w:t>
      </w:r>
      <w:r w:rsidR="00A67C4A" w:rsidRPr="009B639E">
        <w:rPr>
          <w:rFonts w:eastAsia="宋体"/>
          <w:b/>
          <w:sz w:val="20"/>
          <w:lang w:eastAsia="zh-CN"/>
        </w:rPr>
        <w:t xml:space="preserve"> </w:t>
      </w:r>
      <w:r w:rsidR="00943D31" w:rsidRPr="009B639E">
        <w:rPr>
          <w:rFonts w:eastAsia="宋体"/>
          <w:b/>
          <w:sz w:val="20"/>
          <w:lang w:eastAsia="zh-CN"/>
        </w:rPr>
        <w:t xml:space="preserve">There is no spec impact on UE behavior when </w:t>
      </w:r>
      <w:r w:rsidR="003415FE">
        <w:rPr>
          <w:rFonts w:eastAsia="宋体"/>
          <w:b/>
          <w:sz w:val="20"/>
          <w:lang w:eastAsia="zh-CN"/>
        </w:rPr>
        <w:t xml:space="preserve">the </w:t>
      </w:r>
      <w:r w:rsidR="00943D31" w:rsidRPr="009B639E">
        <w:rPr>
          <w:rFonts w:eastAsia="宋体"/>
          <w:b/>
          <w:sz w:val="20"/>
          <w:lang w:eastAsia="zh-CN"/>
        </w:rPr>
        <w:t>cell list is already clear when it switches to a new height range in either event AxHy or SSB-ToMeasure.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lastRenderedPageBreak/>
        <w:t>References</w:t>
      </w:r>
    </w:p>
    <w:p w14:paraId="6F265906" w14:textId="5E04578B" w:rsidR="00776FEE" w:rsidRPr="001928AD" w:rsidRDefault="00F65E9F" w:rsidP="00F65E9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1928AD">
        <w:rPr>
          <w:rFonts w:ascii="Times New Roman" w:eastAsia="宋体" w:hAnsi="Times New Roman"/>
          <w:sz w:val="20"/>
          <w:lang w:eastAsia="zh-CN"/>
        </w:rPr>
        <w:t>RP-213600 WI on NR Support for UAV (NR_UAV), RAN#94e, December 2021.</w:t>
      </w:r>
    </w:p>
    <w:p w14:paraId="5AD5B3F7" w14:textId="57CC1C54" w:rsidR="007C443C" w:rsidRDefault="006D2BB5" w:rsidP="006D2BB5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R2-2x</w:t>
      </w:r>
      <w:r w:rsidR="006A3614">
        <w:rPr>
          <w:rFonts w:ascii="Times New Roman" w:eastAsia="宋体" w:hAnsi="Times New Roman"/>
          <w:sz w:val="20"/>
          <w:lang w:eastAsia="zh-CN"/>
        </w:rPr>
        <w:t>x</w:t>
      </w:r>
      <w:r w:rsidR="00571DDC" w:rsidRPr="00152781">
        <w:rPr>
          <w:rFonts w:ascii="Times New Roman" w:eastAsia="宋体" w:hAnsi="Times New Roman"/>
          <w:sz w:val="20"/>
          <w:lang w:eastAsia="zh-CN"/>
        </w:rPr>
        <w:t>xxxx</w:t>
      </w:r>
      <w:r w:rsidR="006B5B64" w:rsidRPr="00152781">
        <w:rPr>
          <w:rFonts w:ascii="Times New Roman" w:eastAsia="宋体" w:hAnsi="Times New Roman"/>
          <w:sz w:val="20"/>
          <w:lang w:eastAsia="zh-CN"/>
        </w:rPr>
        <w:t xml:space="preserve"> </w:t>
      </w:r>
      <w:r w:rsidRPr="006D2BB5">
        <w:rPr>
          <w:rFonts w:ascii="Times New Roman" w:eastAsia="宋体" w:hAnsi="Times New Roman"/>
          <w:sz w:val="20"/>
          <w:lang w:eastAsia="zh-CN"/>
        </w:rPr>
        <w:t>Chair notes for RAN2#123bis</w:t>
      </w:r>
      <w:r w:rsidR="00152781" w:rsidRPr="005A1F53">
        <w:rPr>
          <w:rFonts w:ascii="Times New Roman" w:eastAsia="宋体" w:hAnsi="Times New Roman"/>
          <w:sz w:val="20"/>
          <w:lang w:eastAsia="zh-CN"/>
        </w:rPr>
        <w:t xml:space="preserve">, </w:t>
      </w:r>
      <w:r w:rsidRPr="006D2BB5">
        <w:rPr>
          <w:rFonts w:ascii="Times New Roman" w:eastAsia="宋体" w:hAnsi="Times New Roman"/>
          <w:sz w:val="20"/>
          <w:lang w:eastAsia="zh-CN"/>
        </w:rPr>
        <w:t>Xiamen, China</w:t>
      </w:r>
    </w:p>
    <w:p w14:paraId="4C67A0B3" w14:textId="246B1E35" w:rsidR="007A3C6A" w:rsidRPr="007A3C6A" w:rsidRDefault="007A3C6A" w:rsidP="007A3C6A">
      <w:pPr>
        <w:pStyle w:val="af5"/>
        <w:numPr>
          <w:ilvl w:val="0"/>
          <w:numId w:val="6"/>
        </w:numPr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R2-2309611 </w:t>
      </w:r>
      <w:r w:rsidRPr="007A3C6A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RRC Running CR </w:t>
      </w: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(Introduction of Aerial Support</w:t>
      </w:r>
      <w:r w:rsidRPr="007A3C6A">
        <w:rPr>
          <w:rFonts w:ascii="Times New Roman" w:eastAsia="宋体" w:hAnsi="Times New Roman" w:cs="Times New Roman"/>
          <w:sz w:val="20"/>
          <w:szCs w:val="20"/>
          <w:lang w:val="en-GB" w:eastAsia="zh-CN"/>
        </w:rPr>
        <w:t>, Qualcomm Incorporated, October 2023</w:t>
      </w:r>
    </w:p>
    <w:sectPr w:rsidR="007A3C6A" w:rsidRPr="007A3C6A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58FEF" w14:textId="77777777" w:rsidR="00B149B8" w:rsidRDefault="00B149B8" w:rsidP="00912621">
      <w:pPr>
        <w:spacing w:after="0"/>
      </w:pPr>
      <w:r>
        <w:separator/>
      </w:r>
    </w:p>
  </w:endnote>
  <w:endnote w:type="continuationSeparator" w:id="0">
    <w:p w14:paraId="769140F5" w14:textId="77777777" w:rsidR="00B149B8" w:rsidRDefault="00B149B8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A5AC2" w14:textId="77777777" w:rsidR="00B149B8" w:rsidRDefault="00B149B8" w:rsidP="00912621">
      <w:pPr>
        <w:spacing w:after="0"/>
      </w:pPr>
      <w:r>
        <w:separator/>
      </w:r>
    </w:p>
  </w:footnote>
  <w:footnote w:type="continuationSeparator" w:id="0">
    <w:p w14:paraId="114FE50B" w14:textId="77777777" w:rsidR="00B149B8" w:rsidRDefault="00B149B8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1BC50F3"/>
    <w:multiLevelType w:val="multilevel"/>
    <w:tmpl w:val="86DA0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CF60C2B"/>
    <w:multiLevelType w:val="multilevel"/>
    <w:tmpl w:val="F41C7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1D586E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F9C0CEB"/>
    <w:multiLevelType w:val="hybridMultilevel"/>
    <w:tmpl w:val="7132E360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10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4"/>
  </w:num>
  <w:num w:numId="12">
    <w:abstractNumId w:val="16"/>
  </w:num>
  <w:num w:numId="13">
    <w:abstractNumId w:val="6"/>
  </w:num>
  <w:num w:numId="14">
    <w:abstractNumId w:val="11"/>
  </w:num>
  <w:num w:numId="15">
    <w:abstractNumId w:val="3"/>
    <w:lvlOverride w:ilvl="0">
      <w:startOverride w:val="1"/>
    </w:lvlOverride>
  </w:num>
  <w:num w:numId="16">
    <w:abstractNumId w:val="7"/>
    <w:lvlOverride w:ilvl="0">
      <w:startOverride w:val="7"/>
    </w:lvlOverride>
  </w:num>
  <w:num w:numId="17">
    <w:abstractNumId w:val="12"/>
  </w:num>
  <w:num w:numId="18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26A9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B3"/>
    <w:rsid w:val="000219CF"/>
    <w:rsid w:val="0002254B"/>
    <w:rsid w:val="0002339C"/>
    <w:rsid w:val="00025FCB"/>
    <w:rsid w:val="00027486"/>
    <w:rsid w:val="00027A12"/>
    <w:rsid w:val="00027C89"/>
    <w:rsid w:val="00030364"/>
    <w:rsid w:val="000303C0"/>
    <w:rsid w:val="0003047D"/>
    <w:rsid w:val="000306E6"/>
    <w:rsid w:val="0003260E"/>
    <w:rsid w:val="00032963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50CE1"/>
    <w:rsid w:val="0005124C"/>
    <w:rsid w:val="0005209D"/>
    <w:rsid w:val="00052311"/>
    <w:rsid w:val="0005259D"/>
    <w:rsid w:val="000531C0"/>
    <w:rsid w:val="00054914"/>
    <w:rsid w:val="000555C3"/>
    <w:rsid w:val="00057906"/>
    <w:rsid w:val="000604F0"/>
    <w:rsid w:val="00060FC4"/>
    <w:rsid w:val="0006160D"/>
    <w:rsid w:val="000627AC"/>
    <w:rsid w:val="00064182"/>
    <w:rsid w:val="000646DB"/>
    <w:rsid w:val="00064CCE"/>
    <w:rsid w:val="00066250"/>
    <w:rsid w:val="000664E7"/>
    <w:rsid w:val="00066942"/>
    <w:rsid w:val="00066D1B"/>
    <w:rsid w:val="000675B6"/>
    <w:rsid w:val="00071700"/>
    <w:rsid w:val="00072D76"/>
    <w:rsid w:val="000732AA"/>
    <w:rsid w:val="00073E84"/>
    <w:rsid w:val="00075573"/>
    <w:rsid w:val="000767B8"/>
    <w:rsid w:val="00077AD7"/>
    <w:rsid w:val="00083327"/>
    <w:rsid w:val="0008382B"/>
    <w:rsid w:val="00084892"/>
    <w:rsid w:val="000853DC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24C8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4E76"/>
    <w:rsid w:val="000B58BA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555F"/>
    <w:rsid w:val="000E5C68"/>
    <w:rsid w:val="000E65FC"/>
    <w:rsid w:val="000E6A20"/>
    <w:rsid w:val="000E7497"/>
    <w:rsid w:val="000E7F35"/>
    <w:rsid w:val="000F05F2"/>
    <w:rsid w:val="000F09A2"/>
    <w:rsid w:val="000F0C6B"/>
    <w:rsid w:val="000F15DE"/>
    <w:rsid w:val="000F230C"/>
    <w:rsid w:val="000F248F"/>
    <w:rsid w:val="000F295F"/>
    <w:rsid w:val="000F2CE3"/>
    <w:rsid w:val="000F32F0"/>
    <w:rsid w:val="000F472C"/>
    <w:rsid w:val="000F7724"/>
    <w:rsid w:val="00101BE1"/>
    <w:rsid w:val="00105FBA"/>
    <w:rsid w:val="001062B8"/>
    <w:rsid w:val="001069D7"/>
    <w:rsid w:val="00111B68"/>
    <w:rsid w:val="00112DF2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489"/>
    <w:rsid w:val="001259DC"/>
    <w:rsid w:val="00126AFB"/>
    <w:rsid w:val="00126CDA"/>
    <w:rsid w:val="00130F3F"/>
    <w:rsid w:val="001317DE"/>
    <w:rsid w:val="00131D97"/>
    <w:rsid w:val="00132241"/>
    <w:rsid w:val="001323EA"/>
    <w:rsid w:val="00132D82"/>
    <w:rsid w:val="0013432A"/>
    <w:rsid w:val="0013481F"/>
    <w:rsid w:val="001362A5"/>
    <w:rsid w:val="00136D25"/>
    <w:rsid w:val="00137D43"/>
    <w:rsid w:val="001401C9"/>
    <w:rsid w:val="001403B3"/>
    <w:rsid w:val="0014050A"/>
    <w:rsid w:val="00140747"/>
    <w:rsid w:val="001412B2"/>
    <w:rsid w:val="00141B0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2781"/>
    <w:rsid w:val="0015297B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2941"/>
    <w:rsid w:val="001744B2"/>
    <w:rsid w:val="00175E53"/>
    <w:rsid w:val="00180A99"/>
    <w:rsid w:val="00180F8A"/>
    <w:rsid w:val="001810B8"/>
    <w:rsid w:val="001843F4"/>
    <w:rsid w:val="00184A34"/>
    <w:rsid w:val="00186088"/>
    <w:rsid w:val="001860BF"/>
    <w:rsid w:val="0018630B"/>
    <w:rsid w:val="001868B7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A0617"/>
    <w:rsid w:val="001A0650"/>
    <w:rsid w:val="001A0BC1"/>
    <w:rsid w:val="001A13C2"/>
    <w:rsid w:val="001A3453"/>
    <w:rsid w:val="001A3791"/>
    <w:rsid w:val="001A4E14"/>
    <w:rsid w:val="001A56D1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2875"/>
    <w:rsid w:val="002230FE"/>
    <w:rsid w:val="00224209"/>
    <w:rsid w:val="0022713E"/>
    <w:rsid w:val="002277BF"/>
    <w:rsid w:val="00230C7C"/>
    <w:rsid w:val="00230D7C"/>
    <w:rsid w:val="00230F8B"/>
    <w:rsid w:val="0023110F"/>
    <w:rsid w:val="002313D3"/>
    <w:rsid w:val="00231AC2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58C"/>
    <w:rsid w:val="00254C82"/>
    <w:rsid w:val="00256319"/>
    <w:rsid w:val="00260718"/>
    <w:rsid w:val="00261544"/>
    <w:rsid w:val="0026260D"/>
    <w:rsid w:val="00262E88"/>
    <w:rsid w:val="0026338D"/>
    <w:rsid w:val="00263D9F"/>
    <w:rsid w:val="00264696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DBE"/>
    <w:rsid w:val="00280C9C"/>
    <w:rsid w:val="00280D1E"/>
    <w:rsid w:val="00284DCA"/>
    <w:rsid w:val="0028537A"/>
    <w:rsid w:val="00286589"/>
    <w:rsid w:val="00287C99"/>
    <w:rsid w:val="002904C4"/>
    <w:rsid w:val="002920E0"/>
    <w:rsid w:val="0029256A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C020E"/>
    <w:rsid w:val="002C1C52"/>
    <w:rsid w:val="002C2070"/>
    <w:rsid w:val="002C2844"/>
    <w:rsid w:val="002C4841"/>
    <w:rsid w:val="002C5B9C"/>
    <w:rsid w:val="002C5FB0"/>
    <w:rsid w:val="002C6CFB"/>
    <w:rsid w:val="002C7241"/>
    <w:rsid w:val="002C7F40"/>
    <w:rsid w:val="002D0886"/>
    <w:rsid w:val="002D11F2"/>
    <w:rsid w:val="002D17CE"/>
    <w:rsid w:val="002D452F"/>
    <w:rsid w:val="002D4A88"/>
    <w:rsid w:val="002D5D6A"/>
    <w:rsid w:val="002D668C"/>
    <w:rsid w:val="002D7ACB"/>
    <w:rsid w:val="002E227E"/>
    <w:rsid w:val="002E250C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051D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4E61"/>
    <w:rsid w:val="003252E5"/>
    <w:rsid w:val="00325359"/>
    <w:rsid w:val="00325F84"/>
    <w:rsid w:val="0032662D"/>
    <w:rsid w:val="00327BE8"/>
    <w:rsid w:val="0033006B"/>
    <w:rsid w:val="00330B60"/>
    <w:rsid w:val="00332A43"/>
    <w:rsid w:val="003342D8"/>
    <w:rsid w:val="00341186"/>
    <w:rsid w:val="003415FE"/>
    <w:rsid w:val="00342D80"/>
    <w:rsid w:val="003438FA"/>
    <w:rsid w:val="003454BC"/>
    <w:rsid w:val="00345A40"/>
    <w:rsid w:val="003507E6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6295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5920"/>
    <w:rsid w:val="0038671C"/>
    <w:rsid w:val="00386A3D"/>
    <w:rsid w:val="00387A78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3A1"/>
    <w:rsid w:val="003A1A7A"/>
    <w:rsid w:val="003A1BBC"/>
    <w:rsid w:val="003A292F"/>
    <w:rsid w:val="003A403C"/>
    <w:rsid w:val="003A6030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5C1"/>
    <w:rsid w:val="003B3856"/>
    <w:rsid w:val="003B42BC"/>
    <w:rsid w:val="003B472F"/>
    <w:rsid w:val="003B4F2F"/>
    <w:rsid w:val="003B5C98"/>
    <w:rsid w:val="003B69C4"/>
    <w:rsid w:val="003B7E4C"/>
    <w:rsid w:val="003C0F00"/>
    <w:rsid w:val="003C293F"/>
    <w:rsid w:val="003C35F8"/>
    <w:rsid w:val="003C3EF2"/>
    <w:rsid w:val="003C59C2"/>
    <w:rsid w:val="003C59C3"/>
    <w:rsid w:val="003C6213"/>
    <w:rsid w:val="003C690E"/>
    <w:rsid w:val="003C7B6A"/>
    <w:rsid w:val="003D026B"/>
    <w:rsid w:val="003D1532"/>
    <w:rsid w:val="003D3983"/>
    <w:rsid w:val="003D3A3F"/>
    <w:rsid w:val="003D428D"/>
    <w:rsid w:val="003D48A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6571"/>
    <w:rsid w:val="003F0EB9"/>
    <w:rsid w:val="003F1079"/>
    <w:rsid w:val="003F29EA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FCE"/>
    <w:rsid w:val="00406860"/>
    <w:rsid w:val="00407202"/>
    <w:rsid w:val="00412643"/>
    <w:rsid w:val="004129F4"/>
    <w:rsid w:val="00412DE7"/>
    <w:rsid w:val="004148BB"/>
    <w:rsid w:val="0041633E"/>
    <w:rsid w:val="00417457"/>
    <w:rsid w:val="004209D5"/>
    <w:rsid w:val="0042126F"/>
    <w:rsid w:val="00424238"/>
    <w:rsid w:val="00426730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B25"/>
    <w:rsid w:val="0045346E"/>
    <w:rsid w:val="004547B6"/>
    <w:rsid w:val="00455818"/>
    <w:rsid w:val="00455E4F"/>
    <w:rsid w:val="00455F6E"/>
    <w:rsid w:val="00457FC1"/>
    <w:rsid w:val="00460ACA"/>
    <w:rsid w:val="0046173A"/>
    <w:rsid w:val="00462444"/>
    <w:rsid w:val="004626DA"/>
    <w:rsid w:val="00462702"/>
    <w:rsid w:val="0046305E"/>
    <w:rsid w:val="00463546"/>
    <w:rsid w:val="004638EA"/>
    <w:rsid w:val="00463E20"/>
    <w:rsid w:val="00465271"/>
    <w:rsid w:val="00466881"/>
    <w:rsid w:val="004700E1"/>
    <w:rsid w:val="0047058D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312E"/>
    <w:rsid w:val="0048482D"/>
    <w:rsid w:val="00484BB6"/>
    <w:rsid w:val="00487653"/>
    <w:rsid w:val="00490D85"/>
    <w:rsid w:val="00491B2B"/>
    <w:rsid w:val="004958DF"/>
    <w:rsid w:val="00495F5A"/>
    <w:rsid w:val="00496621"/>
    <w:rsid w:val="00496CA3"/>
    <w:rsid w:val="00497FBD"/>
    <w:rsid w:val="004A0D59"/>
    <w:rsid w:val="004A2BD6"/>
    <w:rsid w:val="004A3780"/>
    <w:rsid w:val="004A40BC"/>
    <w:rsid w:val="004A42D7"/>
    <w:rsid w:val="004A532F"/>
    <w:rsid w:val="004A53AF"/>
    <w:rsid w:val="004A5985"/>
    <w:rsid w:val="004A77C9"/>
    <w:rsid w:val="004B1F48"/>
    <w:rsid w:val="004B2928"/>
    <w:rsid w:val="004B2C42"/>
    <w:rsid w:val="004B414A"/>
    <w:rsid w:val="004B5B49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465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1B1F"/>
    <w:rsid w:val="005127E9"/>
    <w:rsid w:val="00512820"/>
    <w:rsid w:val="0051290B"/>
    <w:rsid w:val="00514AEA"/>
    <w:rsid w:val="00515A28"/>
    <w:rsid w:val="0051622E"/>
    <w:rsid w:val="005162C8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70B2"/>
    <w:rsid w:val="00567508"/>
    <w:rsid w:val="00571DDC"/>
    <w:rsid w:val="00573BFD"/>
    <w:rsid w:val="0057555A"/>
    <w:rsid w:val="005759B5"/>
    <w:rsid w:val="005759E3"/>
    <w:rsid w:val="00576EFE"/>
    <w:rsid w:val="00581261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1E8D"/>
    <w:rsid w:val="00593C95"/>
    <w:rsid w:val="0059678B"/>
    <w:rsid w:val="0059683E"/>
    <w:rsid w:val="0059704C"/>
    <w:rsid w:val="005977F1"/>
    <w:rsid w:val="005979EC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FED"/>
    <w:rsid w:val="005B01D6"/>
    <w:rsid w:val="005B302C"/>
    <w:rsid w:val="005B4255"/>
    <w:rsid w:val="005B5075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637"/>
    <w:rsid w:val="005D3C43"/>
    <w:rsid w:val="005D5C93"/>
    <w:rsid w:val="005D5CFA"/>
    <w:rsid w:val="005D6287"/>
    <w:rsid w:val="005D6763"/>
    <w:rsid w:val="005D6AF0"/>
    <w:rsid w:val="005D7AB2"/>
    <w:rsid w:val="005E0824"/>
    <w:rsid w:val="005E0DCC"/>
    <w:rsid w:val="005E1854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693F"/>
    <w:rsid w:val="006007F9"/>
    <w:rsid w:val="006014D6"/>
    <w:rsid w:val="0060165B"/>
    <w:rsid w:val="00601B5A"/>
    <w:rsid w:val="00605700"/>
    <w:rsid w:val="006061FB"/>
    <w:rsid w:val="006076B8"/>
    <w:rsid w:val="0060791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DC0"/>
    <w:rsid w:val="00617FDF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604"/>
    <w:rsid w:val="00647791"/>
    <w:rsid w:val="00651FC5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59E4"/>
    <w:rsid w:val="00666B8B"/>
    <w:rsid w:val="00666BC1"/>
    <w:rsid w:val="00667D6F"/>
    <w:rsid w:val="00670DEF"/>
    <w:rsid w:val="00670F04"/>
    <w:rsid w:val="0067166D"/>
    <w:rsid w:val="00672220"/>
    <w:rsid w:val="00672508"/>
    <w:rsid w:val="0067284A"/>
    <w:rsid w:val="006753B5"/>
    <w:rsid w:val="00675CCE"/>
    <w:rsid w:val="00676CAB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614"/>
    <w:rsid w:val="006A39AA"/>
    <w:rsid w:val="006A4603"/>
    <w:rsid w:val="006A5510"/>
    <w:rsid w:val="006A5C7E"/>
    <w:rsid w:val="006A65E5"/>
    <w:rsid w:val="006B2395"/>
    <w:rsid w:val="006B2408"/>
    <w:rsid w:val="006B4972"/>
    <w:rsid w:val="006B4FD0"/>
    <w:rsid w:val="006B5B64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5FC"/>
    <w:rsid w:val="006C7B4E"/>
    <w:rsid w:val="006D1D48"/>
    <w:rsid w:val="006D26D9"/>
    <w:rsid w:val="006D2BB5"/>
    <w:rsid w:val="006D3105"/>
    <w:rsid w:val="006D337E"/>
    <w:rsid w:val="006D3C37"/>
    <w:rsid w:val="006D541B"/>
    <w:rsid w:val="006E07C6"/>
    <w:rsid w:val="006E2730"/>
    <w:rsid w:val="006E393E"/>
    <w:rsid w:val="006E3A2D"/>
    <w:rsid w:val="006E4276"/>
    <w:rsid w:val="006E46EA"/>
    <w:rsid w:val="006E61C4"/>
    <w:rsid w:val="006E6DD6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57B"/>
    <w:rsid w:val="00705829"/>
    <w:rsid w:val="00706A01"/>
    <w:rsid w:val="007073B7"/>
    <w:rsid w:val="00707503"/>
    <w:rsid w:val="00707A19"/>
    <w:rsid w:val="00710171"/>
    <w:rsid w:val="007106F8"/>
    <w:rsid w:val="0071176F"/>
    <w:rsid w:val="0071185C"/>
    <w:rsid w:val="007121B1"/>
    <w:rsid w:val="00713078"/>
    <w:rsid w:val="007153DE"/>
    <w:rsid w:val="007162BE"/>
    <w:rsid w:val="00716B62"/>
    <w:rsid w:val="00716D25"/>
    <w:rsid w:val="00717472"/>
    <w:rsid w:val="00721AC4"/>
    <w:rsid w:val="00722E30"/>
    <w:rsid w:val="00724A85"/>
    <w:rsid w:val="0072527C"/>
    <w:rsid w:val="00727A77"/>
    <w:rsid w:val="00730CAD"/>
    <w:rsid w:val="007322AD"/>
    <w:rsid w:val="00733508"/>
    <w:rsid w:val="007367CD"/>
    <w:rsid w:val="0073680F"/>
    <w:rsid w:val="00736EDF"/>
    <w:rsid w:val="00737188"/>
    <w:rsid w:val="00737806"/>
    <w:rsid w:val="0074069D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4B9"/>
    <w:rsid w:val="007465B2"/>
    <w:rsid w:val="00746882"/>
    <w:rsid w:val="00746ED1"/>
    <w:rsid w:val="00747431"/>
    <w:rsid w:val="00747CB1"/>
    <w:rsid w:val="00747FFB"/>
    <w:rsid w:val="00751A12"/>
    <w:rsid w:val="00754076"/>
    <w:rsid w:val="00754E5E"/>
    <w:rsid w:val="0075689F"/>
    <w:rsid w:val="007603EF"/>
    <w:rsid w:val="00761E37"/>
    <w:rsid w:val="00762068"/>
    <w:rsid w:val="00762D98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5E0A"/>
    <w:rsid w:val="007761B3"/>
    <w:rsid w:val="00776FEE"/>
    <w:rsid w:val="007825CE"/>
    <w:rsid w:val="00782B87"/>
    <w:rsid w:val="00783AF5"/>
    <w:rsid w:val="00784FA3"/>
    <w:rsid w:val="0078543D"/>
    <w:rsid w:val="00785C72"/>
    <w:rsid w:val="00786C58"/>
    <w:rsid w:val="007901F7"/>
    <w:rsid w:val="007927FD"/>
    <w:rsid w:val="00792E75"/>
    <w:rsid w:val="00792F36"/>
    <w:rsid w:val="00793A3D"/>
    <w:rsid w:val="007941C4"/>
    <w:rsid w:val="0079482A"/>
    <w:rsid w:val="0079507C"/>
    <w:rsid w:val="00795FCC"/>
    <w:rsid w:val="00796FDC"/>
    <w:rsid w:val="007975C6"/>
    <w:rsid w:val="00797FED"/>
    <w:rsid w:val="007A02C6"/>
    <w:rsid w:val="007A3C6A"/>
    <w:rsid w:val="007A3F51"/>
    <w:rsid w:val="007A47F4"/>
    <w:rsid w:val="007A53ED"/>
    <w:rsid w:val="007A5E5B"/>
    <w:rsid w:val="007B0231"/>
    <w:rsid w:val="007B17A7"/>
    <w:rsid w:val="007B1E10"/>
    <w:rsid w:val="007B2B53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43C"/>
    <w:rsid w:val="007C4854"/>
    <w:rsid w:val="007D0DB7"/>
    <w:rsid w:val="007D2964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1CC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3307"/>
    <w:rsid w:val="00824990"/>
    <w:rsid w:val="00825A09"/>
    <w:rsid w:val="00830478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4560"/>
    <w:rsid w:val="0084546C"/>
    <w:rsid w:val="0084624E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FF"/>
    <w:rsid w:val="00862BD7"/>
    <w:rsid w:val="00863FEA"/>
    <w:rsid w:val="008644DA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CCF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A95"/>
    <w:rsid w:val="008A12C4"/>
    <w:rsid w:val="008A14C9"/>
    <w:rsid w:val="008A241E"/>
    <w:rsid w:val="008A27E4"/>
    <w:rsid w:val="008A2B35"/>
    <w:rsid w:val="008A3766"/>
    <w:rsid w:val="008A4AE5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A9B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C7F6D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6F78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4250"/>
    <w:rsid w:val="00906B25"/>
    <w:rsid w:val="00907149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10E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43E5"/>
    <w:rsid w:val="009243E8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9"/>
    <w:rsid w:val="00942EC0"/>
    <w:rsid w:val="00943D31"/>
    <w:rsid w:val="00944E43"/>
    <w:rsid w:val="00945ACF"/>
    <w:rsid w:val="00946BA4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6670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4DA"/>
    <w:rsid w:val="009867AA"/>
    <w:rsid w:val="0098717A"/>
    <w:rsid w:val="009872FE"/>
    <w:rsid w:val="00987910"/>
    <w:rsid w:val="009916BD"/>
    <w:rsid w:val="00993869"/>
    <w:rsid w:val="00994154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CFF"/>
    <w:rsid w:val="009B23AB"/>
    <w:rsid w:val="009B3725"/>
    <w:rsid w:val="009B416A"/>
    <w:rsid w:val="009B5793"/>
    <w:rsid w:val="009B5BFB"/>
    <w:rsid w:val="009B639E"/>
    <w:rsid w:val="009B6B6B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B06"/>
    <w:rsid w:val="009D0710"/>
    <w:rsid w:val="009D1CB4"/>
    <w:rsid w:val="009D3509"/>
    <w:rsid w:val="009D51AD"/>
    <w:rsid w:val="009D7E78"/>
    <w:rsid w:val="009D7EEB"/>
    <w:rsid w:val="009E06EE"/>
    <w:rsid w:val="009E0BDE"/>
    <w:rsid w:val="009E0D79"/>
    <w:rsid w:val="009E15C4"/>
    <w:rsid w:val="009E1C9F"/>
    <w:rsid w:val="009E46B7"/>
    <w:rsid w:val="009E4CED"/>
    <w:rsid w:val="009E71BF"/>
    <w:rsid w:val="009F2AD0"/>
    <w:rsid w:val="009F40B1"/>
    <w:rsid w:val="009F4809"/>
    <w:rsid w:val="009F4F38"/>
    <w:rsid w:val="009F57DB"/>
    <w:rsid w:val="009F5D06"/>
    <w:rsid w:val="009F6D36"/>
    <w:rsid w:val="00A00038"/>
    <w:rsid w:val="00A00B54"/>
    <w:rsid w:val="00A010B4"/>
    <w:rsid w:val="00A01AC0"/>
    <w:rsid w:val="00A02425"/>
    <w:rsid w:val="00A03203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818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07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37D3D"/>
    <w:rsid w:val="00A40DD6"/>
    <w:rsid w:val="00A412B2"/>
    <w:rsid w:val="00A417F8"/>
    <w:rsid w:val="00A42455"/>
    <w:rsid w:val="00A43200"/>
    <w:rsid w:val="00A46158"/>
    <w:rsid w:val="00A468E8"/>
    <w:rsid w:val="00A47118"/>
    <w:rsid w:val="00A5110A"/>
    <w:rsid w:val="00A5155B"/>
    <w:rsid w:val="00A5466F"/>
    <w:rsid w:val="00A54C80"/>
    <w:rsid w:val="00A55A41"/>
    <w:rsid w:val="00A55E1A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635"/>
    <w:rsid w:val="00A66503"/>
    <w:rsid w:val="00A66FB3"/>
    <w:rsid w:val="00A6772F"/>
    <w:rsid w:val="00A677E0"/>
    <w:rsid w:val="00A67C4A"/>
    <w:rsid w:val="00A67FD2"/>
    <w:rsid w:val="00A706D9"/>
    <w:rsid w:val="00A708A1"/>
    <w:rsid w:val="00A71E88"/>
    <w:rsid w:val="00A72D22"/>
    <w:rsid w:val="00A77402"/>
    <w:rsid w:val="00A779B2"/>
    <w:rsid w:val="00A77A3B"/>
    <w:rsid w:val="00A8036F"/>
    <w:rsid w:val="00A803E9"/>
    <w:rsid w:val="00A8275C"/>
    <w:rsid w:val="00A8280C"/>
    <w:rsid w:val="00A82867"/>
    <w:rsid w:val="00A8578C"/>
    <w:rsid w:val="00A860BC"/>
    <w:rsid w:val="00A86C2B"/>
    <w:rsid w:val="00A86C40"/>
    <w:rsid w:val="00A877B0"/>
    <w:rsid w:val="00A90104"/>
    <w:rsid w:val="00A90B71"/>
    <w:rsid w:val="00A90D52"/>
    <w:rsid w:val="00A9321D"/>
    <w:rsid w:val="00A948E5"/>
    <w:rsid w:val="00A95013"/>
    <w:rsid w:val="00A96441"/>
    <w:rsid w:val="00A972BA"/>
    <w:rsid w:val="00AA05FC"/>
    <w:rsid w:val="00AA150E"/>
    <w:rsid w:val="00AA2E77"/>
    <w:rsid w:val="00AA3384"/>
    <w:rsid w:val="00AA3467"/>
    <w:rsid w:val="00AA3820"/>
    <w:rsid w:val="00AA397F"/>
    <w:rsid w:val="00AA3EEB"/>
    <w:rsid w:val="00AA4D54"/>
    <w:rsid w:val="00AB0187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B8"/>
    <w:rsid w:val="00AD6388"/>
    <w:rsid w:val="00AE2723"/>
    <w:rsid w:val="00AE2E89"/>
    <w:rsid w:val="00AE3097"/>
    <w:rsid w:val="00AE4DC5"/>
    <w:rsid w:val="00AE6D1C"/>
    <w:rsid w:val="00AE79E6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3A70"/>
    <w:rsid w:val="00B07483"/>
    <w:rsid w:val="00B07DF9"/>
    <w:rsid w:val="00B10274"/>
    <w:rsid w:val="00B105DC"/>
    <w:rsid w:val="00B1270D"/>
    <w:rsid w:val="00B149B8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54E3"/>
    <w:rsid w:val="00B47092"/>
    <w:rsid w:val="00B47B60"/>
    <w:rsid w:val="00B50780"/>
    <w:rsid w:val="00B50829"/>
    <w:rsid w:val="00B517C5"/>
    <w:rsid w:val="00B51DD2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170C"/>
    <w:rsid w:val="00B819E7"/>
    <w:rsid w:val="00B81F5E"/>
    <w:rsid w:val="00B82298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3577"/>
    <w:rsid w:val="00BB459F"/>
    <w:rsid w:val="00BB6038"/>
    <w:rsid w:val="00BB6982"/>
    <w:rsid w:val="00BB6DC8"/>
    <w:rsid w:val="00BB71A3"/>
    <w:rsid w:val="00BB7442"/>
    <w:rsid w:val="00BC05A3"/>
    <w:rsid w:val="00BC0EE6"/>
    <w:rsid w:val="00BC313A"/>
    <w:rsid w:val="00BC49C0"/>
    <w:rsid w:val="00BC4EC8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62F5"/>
    <w:rsid w:val="00BD6D5A"/>
    <w:rsid w:val="00BD7DC7"/>
    <w:rsid w:val="00BE0016"/>
    <w:rsid w:val="00BE0424"/>
    <w:rsid w:val="00BE048E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653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739E"/>
    <w:rsid w:val="00C37ABE"/>
    <w:rsid w:val="00C43DA1"/>
    <w:rsid w:val="00C44E91"/>
    <w:rsid w:val="00C44ED5"/>
    <w:rsid w:val="00C45368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BAE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5FBD"/>
    <w:rsid w:val="00CB63BF"/>
    <w:rsid w:val="00CC0811"/>
    <w:rsid w:val="00CC1B0E"/>
    <w:rsid w:val="00CC2B64"/>
    <w:rsid w:val="00CC404B"/>
    <w:rsid w:val="00CC5BE2"/>
    <w:rsid w:val="00CC7262"/>
    <w:rsid w:val="00CC7F7A"/>
    <w:rsid w:val="00CD2A83"/>
    <w:rsid w:val="00CD2AD6"/>
    <w:rsid w:val="00CD4335"/>
    <w:rsid w:val="00CD4419"/>
    <w:rsid w:val="00CD4D12"/>
    <w:rsid w:val="00CD525D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3EE"/>
    <w:rsid w:val="00D02960"/>
    <w:rsid w:val="00D03BC8"/>
    <w:rsid w:val="00D0566D"/>
    <w:rsid w:val="00D061B7"/>
    <w:rsid w:val="00D067A9"/>
    <w:rsid w:val="00D10F23"/>
    <w:rsid w:val="00D110E1"/>
    <w:rsid w:val="00D11C55"/>
    <w:rsid w:val="00D11E31"/>
    <w:rsid w:val="00D1533D"/>
    <w:rsid w:val="00D228F2"/>
    <w:rsid w:val="00D23269"/>
    <w:rsid w:val="00D23361"/>
    <w:rsid w:val="00D23552"/>
    <w:rsid w:val="00D235A6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5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3F4"/>
    <w:rsid w:val="00D618F4"/>
    <w:rsid w:val="00D61A6C"/>
    <w:rsid w:val="00D61E99"/>
    <w:rsid w:val="00D61F1F"/>
    <w:rsid w:val="00D624C6"/>
    <w:rsid w:val="00D637E6"/>
    <w:rsid w:val="00D648B7"/>
    <w:rsid w:val="00D64F8F"/>
    <w:rsid w:val="00D664C8"/>
    <w:rsid w:val="00D66534"/>
    <w:rsid w:val="00D66A0D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4A2F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1CFD"/>
    <w:rsid w:val="00DB0E1B"/>
    <w:rsid w:val="00DB0E3F"/>
    <w:rsid w:val="00DB1899"/>
    <w:rsid w:val="00DB3A26"/>
    <w:rsid w:val="00DB5209"/>
    <w:rsid w:val="00DB527A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629A"/>
    <w:rsid w:val="00DE73FC"/>
    <w:rsid w:val="00DE75AD"/>
    <w:rsid w:val="00DE7D54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2B7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5204"/>
    <w:rsid w:val="00E26331"/>
    <w:rsid w:val="00E265C7"/>
    <w:rsid w:val="00E26D8B"/>
    <w:rsid w:val="00E26F01"/>
    <w:rsid w:val="00E27CAF"/>
    <w:rsid w:val="00E305BC"/>
    <w:rsid w:val="00E30E31"/>
    <w:rsid w:val="00E31FDD"/>
    <w:rsid w:val="00E330A9"/>
    <w:rsid w:val="00E33E65"/>
    <w:rsid w:val="00E33E6B"/>
    <w:rsid w:val="00E33FA0"/>
    <w:rsid w:val="00E34BF0"/>
    <w:rsid w:val="00E3652B"/>
    <w:rsid w:val="00E36AF5"/>
    <w:rsid w:val="00E37E43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57F5D"/>
    <w:rsid w:val="00E60C0F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A059C"/>
    <w:rsid w:val="00EA0E58"/>
    <w:rsid w:val="00EA12D4"/>
    <w:rsid w:val="00EA18B1"/>
    <w:rsid w:val="00EA24C6"/>
    <w:rsid w:val="00EA7AAD"/>
    <w:rsid w:val="00EB3735"/>
    <w:rsid w:val="00EB386E"/>
    <w:rsid w:val="00EB4ACD"/>
    <w:rsid w:val="00EB605E"/>
    <w:rsid w:val="00EB7CE3"/>
    <w:rsid w:val="00EB7FC5"/>
    <w:rsid w:val="00EC2560"/>
    <w:rsid w:val="00EC267B"/>
    <w:rsid w:val="00EC2E55"/>
    <w:rsid w:val="00EC4D07"/>
    <w:rsid w:val="00EC5E5F"/>
    <w:rsid w:val="00EC71BA"/>
    <w:rsid w:val="00ED0E3A"/>
    <w:rsid w:val="00ED17E1"/>
    <w:rsid w:val="00ED2C92"/>
    <w:rsid w:val="00ED2DF5"/>
    <w:rsid w:val="00ED32E8"/>
    <w:rsid w:val="00ED40B4"/>
    <w:rsid w:val="00ED51EF"/>
    <w:rsid w:val="00ED66CF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AC5"/>
    <w:rsid w:val="00EF63F2"/>
    <w:rsid w:val="00EF666E"/>
    <w:rsid w:val="00EF718E"/>
    <w:rsid w:val="00F0059E"/>
    <w:rsid w:val="00F0154C"/>
    <w:rsid w:val="00F0316E"/>
    <w:rsid w:val="00F03F04"/>
    <w:rsid w:val="00F04509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5E54"/>
    <w:rsid w:val="00F174EB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5E40"/>
    <w:rsid w:val="00F26535"/>
    <w:rsid w:val="00F2774D"/>
    <w:rsid w:val="00F27D68"/>
    <w:rsid w:val="00F32800"/>
    <w:rsid w:val="00F34867"/>
    <w:rsid w:val="00F35B0D"/>
    <w:rsid w:val="00F37351"/>
    <w:rsid w:val="00F37DD7"/>
    <w:rsid w:val="00F41C69"/>
    <w:rsid w:val="00F41EF4"/>
    <w:rsid w:val="00F42CAA"/>
    <w:rsid w:val="00F43A4E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4B44"/>
    <w:rsid w:val="00F550A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4A87"/>
    <w:rsid w:val="00F95AB1"/>
    <w:rsid w:val="00F95BDC"/>
    <w:rsid w:val="00F97BFB"/>
    <w:rsid w:val="00F97EB0"/>
    <w:rsid w:val="00FA0D5A"/>
    <w:rsid w:val="00FA114B"/>
    <w:rsid w:val="00FA18F6"/>
    <w:rsid w:val="00FA28BC"/>
    <w:rsid w:val="00FA5417"/>
    <w:rsid w:val="00FA5C42"/>
    <w:rsid w:val="00FA61BC"/>
    <w:rsid w:val="00FA749B"/>
    <w:rsid w:val="00FA7B71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B8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4581"/>
    <w:rsid w:val="00FE5B67"/>
    <w:rsid w:val="00FE601E"/>
    <w:rsid w:val="00FE62D0"/>
    <w:rsid w:val="00FE66FB"/>
    <w:rsid w:val="00FE6799"/>
    <w:rsid w:val="00FF010F"/>
    <w:rsid w:val="00FF089E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66BC1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B0EFC4-FB12-437A-9A37-C8CE929C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3</Pages>
  <Words>1021</Words>
  <Characters>5709</Characters>
  <Application>Microsoft Office Word</Application>
  <DocSecurity>0</DocSecurity>
  <Lines>86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Telecom2</cp:lastModifiedBy>
  <cp:revision>11</cp:revision>
  <cp:lastPrinted>2022-05-10T08:48:00Z</cp:lastPrinted>
  <dcterms:created xsi:type="dcterms:W3CDTF">2023-11-03T09:35:00Z</dcterms:created>
  <dcterms:modified xsi:type="dcterms:W3CDTF">2023-11-03T09:57:00Z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